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jc w:val="center"/>
        <w:rPr>
          <w:b/>
          <w:b/>
          <w:sz w:val="40"/>
          <w:szCs w:val="40"/>
        </w:rPr>
      </w:pPr>
      <w:r>
        <w:rPr>
          <w:b/>
          <w:sz w:val="40"/>
          <w:szCs w:val="40"/>
        </w:rPr>
        <w:t>小野町教育環境整備の基本方針</w:t>
      </w:r>
    </w:p>
    <w:p>
      <w:pPr>
        <w:pStyle w:val="Normal"/>
        <w:jc w:val="center"/>
        <w:rPr>
          <w:b/>
          <w:b/>
          <w:sz w:val="32"/>
          <w:szCs w:val="32"/>
        </w:rPr>
      </w:pPr>
      <w:r>
        <w:rPr>
          <w:b/>
          <w:sz w:val="32"/>
          <w:szCs w:val="32"/>
        </w:rPr>
        <w:t>（平成２９年３月２９日改訂）</w:t>
      </w:r>
    </w:p>
    <w:p>
      <w:pPr>
        <w:pStyle w:val="Normal"/>
        <w:rPr>
          <w:b/>
          <w:b/>
          <w:sz w:val="32"/>
          <w:szCs w:val="32"/>
        </w:rPr>
      </w:pPr>
      <w:r>
        <w:rPr>
          <w:b/>
          <w:sz w:val="32"/>
          <w:szCs w:val="32"/>
        </w:rPr>
      </w:r>
    </w:p>
    <w:p>
      <w:pPr>
        <w:pStyle w:val="Normal"/>
        <w:rPr>
          <w:b/>
          <w:b/>
          <w:sz w:val="32"/>
          <w:szCs w:val="32"/>
        </w:rPr>
      </w:pPr>
      <w:r>
        <w:rPr>
          <w:b/>
          <w:sz w:val="32"/>
          <w:szCs w:val="32"/>
        </w:rPr>
      </w:r>
    </w:p>
    <w:p>
      <w:pPr>
        <w:pStyle w:val="Normal"/>
        <w:jc w:val="center"/>
        <w:rPr>
          <w:rFonts w:ascii="HG丸ｺﾞｼｯｸM-PRO" w:hAnsi="HG丸ｺﾞｼｯｸM-PRO" w:eastAsia="HG丸ｺﾞｼｯｸM-PRO"/>
          <w:b/>
          <w:b/>
          <w:sz w:val="52"/>
          <w:szCs w:val="52"/>
        </w:rPr>
      </w:pPr>
      <w:r>
        <w:rPr>
          <w:rFonts w:eastAsia="HG丸ｺﾞｼｯｸM-PRO" w:ascii="HG丸ｺﾞｼｯｸM-PRO" w:hAnsi="HG丸ｺﾞｼｯｸM-PRO"/>
          <w:b/>
          <w:sz w:val="52"/>
          <w:szCs w:val="5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jc w:val="center"/>
        <w:rPr>
          <w:b/>
          <w:b/>
          <w:sz w:val="36"/>
          <w:szCs w:val="36"/>
        </w:rPr>
      </w:pPr>
      <w:r>
        <w:rPr>
          <w:b/>
          <w:sz w:val="36"/>
          <w:szCs w:val="36"/>
        </w:rPr>
        <w:t>小野町教育委員会</w:t>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center"/>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center"/>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center"/>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center"/>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center"/>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center"/>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目　　次</w:t>
      </w:r>
    </w:p>
    <w:p>
      <w:pPr>
        <w:pStyle w:val="Normal"/>
        <w:widowControl/>
        <w:jc w:val="center"/>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center"/>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１　はじめに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１</w:t>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２　現状と課題　　　　　　　　　　　　　　　　　　　　</w:t>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ind w:firstLine="241"/>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（１）　これまでの経過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１</w:t>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ind w:firstLine="241"/>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（２）　小学校の適正規模に関する課題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２</w:t>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３　新たな基本方針</w:t>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　（１）　幼児教育施設に関すること　　　　　　　　　　　</w:t>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　　</w:t>
      </w:r>
    </w:p>
    <w:p>
      <w:pPr>
        <w:pStyle w:val="Normal"/>
        <w:widowControl/>
        <w:ind w:firstLine="723"/>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ア　新たな総合施設の整備について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３</w:t>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　　　イ　幼稚園、保育園及び児童園の統合について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３</w:t>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　（２）　小中学校に関すること　　　　　　　　　　　　　</w:t>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ind w:firstLine="723"/>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ア　小学校の統廃合について　　　　　　　　　　</w:t>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　　　　（ア）　統廃合の基本的な考え方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３</w:t>
      </w:r>
    </w:p>
    <w:p>
      <w:pPr>
        <w:pStyle w:val="Normal"/>
        <w:widowControl/>
        <w:ind w:firstLine="964"/>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（イ）　統合時期等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４</w:t>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　　　　（ウ）　統廃合に際し配慮すべき事項について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６</w:t>
      </w:r>
    </w:p>
    <w:p>
      <w:pPr>
        <w:pStyle w:val="Normal"/>
        <w:widowControl/>
        <w:ind w:firstLine="964"/>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（エ）　統廃合までの流れについて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６</w:t>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　　</w:t>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　　　イ　中学校の教育環境について　　　　　　　　　　　</w:t>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　　　　（ア）　学校運営について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７</w:t>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　　　　（イ）　通学支援について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７</w:t>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ＭＳ 明朝" w:hAnsi="ＭＳ 明朝" w:asciiTheme="minorEastAsia" w:hAnsiTheme="minorEastAsia"/>
          <w:b/>
          <w:sz w:val="24"/>
          <w:szCs w:val="24"/>
        </w:rPr>
        <w:t>４　おわりに　　　　　　　　　　　　　　　　　　　　・・・・・</w:t>
      </w:r>
      <w:r>
        <w:rPr>
          <w:rFonts w:ascii="ＭＳ 明朝" w:hAnsi="ＭＳ 明朝" w:asciiTheme="minorEastAsia" w:hAnsiTheme="minorEastAsia"/>
          <w:b/>
          <w:sz w:val="24"/>
          <w:szCs w:val="24"/>
        </w:rPr>
        <w:t>P</w:t>
      </w:r>
      <w:r>
        <w:rPr>
          <w:rFonts w:ascii="ＭＳ 明朝" w:hAnsi="ＭＳ 明朝" w:asciiTheme="minorEastAsia" w:hAnsiTheme="minorEastAsia"/>
          <w:b/>
          <w:sz w:val="24"/>
          <w:szCs w:val="24"/>
        </w:rPr>
        <w:t>７</w:t>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widowControl/>
        <w:jc w:val="left"/>
        <w:rPr>
          <w:rFonts w:ascii="ＭＳ 明朝" w:hAnsi="ＭＳ 明朝" w:asciiTheme="minorEastAsia" w:hAnsiTheme="minorEastAsia"/>
          <w:b/>
          <w:b/>
          <w:sz w:val="24"/>
          <w:szCs w:val="24"/>
        </w:rPr>
      </w:pPr>
      <w:r>
        <w:rPr>
          <w:rFonts w:asciiTheme="minorEastAsia" w:hAnsiTheme="minorEastAsia" w:ascii="ＭＳ 明朝" w:hAnsi="ＭＳ 明朝"/>
          <w:b/>
          <w:sz w:val="24"/>
          <w:szCs w:val="24"/>
        </w:rPr>
      </w:r>
    </w:p>
    <w:p>
      <w:pPr>
        <w:pStyle w:val="Normal"/>
        <w:jc w:val="center"/>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jc w:val="center"/>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jc w:val="center"/>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jc w:val="center"/>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jc w:val="center"/>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jc w:val="center"/>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jc w:val="center"/>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jc w:val="center"/>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jc w:val="center"/>
        <w:rPr>
          <w:rFonts w:ascii="ＭＳ 明朝" w:hAnsi="ＭＳ 明朝" w:asciiTheme="minorEastAsia" w:hAnsiTheme="minorEastAsia"/>
          <w:b/>
          <w:b/>
          <w:sz w:val="28"/>
          <w:szCs w:val="28"/>
        </w:rPr>
      </w:pPr>
      <w:r>
        <w:rPr>
          <w:rFonts w:ascii="ＭＳ 明朝" w:hAnsi="ＭＳ 明朝" w:asciiTheme="minorEastAsia" w:hAnsiTheme="minorEastAsia"/>
          <w:b/>
          <w:sz w:val="28"/>
          <w:szCs w:val="28"/>
        </w:rPr>
        <w:t>小野町教育環境整備の基本方針（平成２９年３月２９日改訂）</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rPr>
          <w:rFonts w:ascii="ＭＳ 明朝" w:hAnsi="ＭＳ 明朝" w:asciiTheme="minorEastAsia" w:hAnsiTheme="minorEastAsia"/>
          <w:b/>
          <w:b/>
          <w:sz w:val="28"/>
          <w:szCs w:val="28"/>
        </w:rPr>
      </w:pPr>
      <w:r>
        <w:rPr>
          <w:rFonts w:ascii="ＭＳ 明朝" w:hAnsi="ＭＳ 明朝" w:asciiTheme="minorEastAsia" w:hAnsiTheme="minorEastAsia"/>
          <w:b/>
          <w:sz w:val="28"/>
          <w:szCs w:val="28"/>
        </w:rPr>
        <w:t>１　はじめに</w:t>
      </w:r>
    </w:p>
    <w:p>
      <w:pPr>
        <w:pStyle w:val="Normal"/>
        <w:ind w:firstLine="220"/>
        <w:rPr>
          <w:rFonts w:ascii="ＭＳ 明朝" w:hAnsi="ＭＳ 明朝" w:asciiTheme="minorEastAsia" w:hAnsiTheme="minorEastAsia"/>
          <w:sz w:val="22"/>
        </w:rPr>
      </w:pPr>
      <w:r>
        <w:rPr>
          <w:rFonts w:ascii="ＭＳ 明朝" w:hAnsi="ＭＳ 明朝" w:asciiTheme="minorEastAsia" w:hAnsiTheme="minorEastAsia"/>
          <w:sz w:val="22"/>
        </w:rPr>
        <w:t>平成１８年８月に「小野町教育環境整備の基本方針（以下、基本方針）」が策定され、１０年が経過しました。この間基本方針に沿って実行されたものがある一方で、東日本大震災などの対応のため、基本方針に掲げた目標通り進捗していない事項もあることから、平成２８年１月に小野町教育環境整備の基本方針見直し検討委員会（以下、見直し検討委員会）を設置し、基本方針で具体的に掲げている各施策の検証作業を行いました。</w:t>
      </w:r>
    </w:p>
    <w:p>
      <w:pPr>
        <w:pStyle w:val="Normal"/>
        <w:ind w:firstLine="220"/>
        <w:rPr>
          <w:rFonts w:ascii="ＭＳ 明朝" w:hAnsi="ＭＳ 明朝" w:asciiTheme="minorEastAsia" w:hAnsiTheme="minorEastAsia"/>
          <w:sz w:val="22"/>
        </w:rPr>
      </w:pPr>
      <w:r>
        <w:rPr>
          <w:rFonts w:ascii="ＭＳ 明朝" w:hAnsi="ＭＳ 明朝" w:asciiTheme="minorEastAsia" w:hAnsiTheme="minorEastAsia"/>
          <w:sz w:val="22"/>
        </w:rPr>
        <w:t>見直し検討委員会では、急激な少子化社会が到来している中で、今後の教育環境整備の取組み、教育行政を取り巻く環境の変化や国・県の教育施策、町振興計画基本構想なども踏まえ、当町における教育環境の現状と課題やアンケート結果の分析を行い、委員相互の意見交換を重ねました。</w:t>
      </w:r>
    </w:p>
    <w:p>
      <w:pPr>
        <w:pStyle w:val="Normal"/>
        <w:ind w:left="1530" w:hanging="1320"/>
        <w:rPr/>
      </w:pPr>
      <w:r>
        <w:rPr>
          <w:rFonts w:ascii="ＭＳ 明朝" w:hAnsi="ＭＳ 明朝" w:asciiTheme="minorEastAsia" w:hAnsiTheme="minorEastAsia"/>
          <w:sz w:val="22"/>
        </w:rPr>
        <w:t>その結果、基本方針の方向性についてはこれを堅持することを基本とし、</w:t>
      </w:r>
      <w:r>
        <w:rPr>
          <w:rFonts w:ascii="ＭＳ 明朝" w:hAnsi="ＭＳ 明朝" w:asciiTheme="minorEastAsia" w:hAnsiTheme="minorEastAsia"/>
          <w:color w:val="000000" w:themeColor="text1"/>
          <w:sz w:val="22"/>
        </w:rPr>
        <w:t>策定から</w:t>
      </w:r>
    </w:p>
    <w:p>
      <w:pPr>
        <w:pStyle w:val="Normal"/>
        <w:ind w:hanging="0"/>
        <w:rPr/>
      </w:pPr>
      <w:r>
        <w:rPr>
          <w:rFonts w:ascii="ＭＳ 明朝" w:hAnsi="ＭＳ 明朝" w:asciiTheme="minorEastAsia" w:hAnsiTheme="minorEastAsia"/>
          <w:color w:val="000000" w:themeColor="text1"/>
          <w:sz w:val="22"/>
        </w:rPr>
        <w:t>の年数経過や、平成２７年１月に文部科学省から「公立小学校・中学校の適正規模・適正配置等に関する手引」が示されたこと、</w:t>
      </w:r>
      <w:r>
        <w:rPr>
          <w:rFonts w:ascii="ＭＳ 明朝" w:hAnsi="ＭＳ 明朝" w:asciiTheme="minorEastAsia" w:hAnsiTheme="minorEastAsia"/>
          <w:sz w:val="22"/>
        </w:rPr>
        <w:t>東日本大震災等による影響</w:t>
      </w:r>
      <w:r>
        <w:rPr>
          <w:rFonts w:ascii="ＭＳ 明朝" w:hAnsi="ＭＳ 明朝" w:asciiTheme="minorEastAsia" w:hAnsiTheme="minorEastAsia"/>
          <w:color w:val="000000" w:themeColor="text1"/>
          <w:sz w:val="22"/>
        </w:rPr>
        <w:t>など、教育環境を取り巻く諸情勢の変化を踏まえ、小学校等の統合と施設整備の時期、その他必要な事項の見直しを行うことについて、平成２８年７月２０日に提言を受けました。</w:t>
      </w:r>
    </w:p>
    <w:p>
      <w:pPr>
        <w:pStyle w:val="Normal"/>
        <w:ind w:left="27" w:firstLine="220"/>
        <w:rPr>
          <w:rFonts w:ascii="ＭＳ 明朝" w:hAnsi="ＭＳ 明朝" w:asciiTheme="minorEastAsia" w:hAnsiTheme="minorEastAsia"/>
          <w:sz w:val="22"/>
        </w:rPr>
      </w:pPr>
      <w:r>
        <w:rPr>
          <w:rFonts w:ascii="ＭＳ 明朝" w:hAnsi="ＭＳ 明朝" w:asciiTheme="minorEastAsia" w:hAnsiTheme="minorEastAsia"/>
          <w:sz w:val="22"/>
        </w:rPr>
        <w:t>教育委員会では、この提言内容を十分に尊重し、また平成２７年９月に「小野町公共施設等整備検討委員会（以下、公共施設等整備検討委員会）」より、認定こども園は小野町における子育て支援の最重要施設として速やかな整備を行うこととする旨の提言書が提出されたことも踏まえ、新たな基本方針を以下のとおり定めます。</w:t>
      </w:r>
    </w:p>
    <w:p>
      <w:pPr>
        <w:pStyle w:val="Normal"/>
        <w:ind w:left="27" w:hanging="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27" w:hanging="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27" w:hanging="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b/>
          <w:b/>
          <w:sz w:val="28"/>
          <w:szCs w:val="28"/>
        </w:rPr>
      </w:pPr>
      <w:r>
        <w:rPr>
          <w:rFonts w:ascii="ＭＳ 明朝" w:hAnsi="ＭＳ 明朝" w:asciiTheme="minorEastAsia" w:hAnsiTheme="minorEastAsia"/>
          <w:b/>
          <w:sz w:val="28"/>
          <w:szCs w:val="28"/>
        </w:rPr>
        <w:t>２　現状と課題</w:t>
      </w:r>
    </w:p>
    <w:p>
      <w:pPr>
        <w:pStyle w:val="Normal"/>
        <w:ind w:left="663" w:hanging="663"/>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ind w:left="652" w:hanging="442"/>
        <w:rPr>
          <w:rFonts w:ascii="ＭＳ 明朝" w:hAnsi="ＭＳ 明朝" w:asciiTheme="minorEastAsia" w:hAnsiTheme="minorEastAsia"/>
          <w:b/>
          <w:b/>
          <w:sz w:val="22"/>
        </w:rPr>
      </w:pPr>
      <w:r>
        <w:rPr>
          <w:rFonts w:ascii="ＭＳ 明朝" w:hAnsi="ＭＳ 明朝" w:asciiTheme="minorEastAsia" w:hAnsiTheme="minorEastAsia"/>
          <w:b/>
          <w:sz w:val="22"/>
        </w:rPr>
        <w:t>(</w:t>
      </w:r>
      <w:r>
        <w:rPr>
          <w:rFonts w:ascii="ＭＳ 明朝" w:hAnsi="ＭＳ 明朝" w:asciiTheme="minorEastAsia" w:hAnsiTheme="minorEastAsia"/>
          <w:b/>
          <w:sz w:val="22"/>
        </w:rPr>
        <w:t>１</w:t>
      </w:r>
      <w:r>
        <w:rPr>
          <w:rFonts w:ascii="ＭＳ 明朝" w:hAnsi="ＭＳ 明朝" w:asciiTheme="minorEastAsia" w:hAnsiTheme="minorEastAsia"/>
          <w:b/>
          <w:sz w:val="22"/>
        </w:rPr>
        <w:t>)</w:t>
      </w:r>
      <w:r>
        <w:rPr>
          <w:rFonts w:ascii="ＭＳ 明朝" w:hAnsi="ＭＳ 明朝" w:asciiTheme="minorEastAsia" w:hAnsiTheme="minorEastAsia"/>
          <w:b/>
          <w:sz w:val="22"/>
        </w:rPr>
        <w:t>　これまでの経過</w:t>
      </w:r>
    </w:p>
    <w:p>
      <w:pPr>
        <w:pStyle w:val="Normal"/>
        <w:ind w:left="663" w:hanging="663"/>
        <w:rPr/>
      </w:pPr>
      <w:r>
        <w:rPr>
          <w:rFonts w:ascii="ＭＳ 明朝" w:hAnsi="ＭＳ 明朝" w:asciiTheme="minorEastAsia" w:hAnsiTheme="minorEastAsia"/>
          <w:b/>
          <w:sz w:val="22"/>
        </w:rPr>
        <w:t xml:space="preserve">　　　  </w:t>
      </w:r>
      <w:r>
        <w:rPr>
          <w:rFonts w:ascii="ＭＳ 明朝" w:hAnsi="ＭＳ 明朝" w:asciiTheme="minorEastAsia" w:hAnsiTheme="minorEastAsia"/>
          <w:sz w:val="22"/>
        </w:rPr>
        <w:t>基本方針に沿って施設の統廃合を進めてきたが、現実的には目標とするスケジュールとの差異が生じている。しかし、この間施設の耐震改修や東日本大震災に伴う校舎及び設備等の改修を行い、児童・生徒が安心して学べる教育環境の整備に取り組んできた。</w:t>
      </w:r>
    </w:p>
    <w:p>
      <w:pPr>
        <w:pStyle w:val="Normal"/>
        <w:ind w:left="640" w:hanging="22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640" w:hanging="220"/>
        <w:rPr>
          <w:rFonts w:ascii="ＭＳ 明朝" w:hAnsi="ＭＳ 明朝" w:asciiTheme="minorEastAsia" w:hAnsiTheme="minorEastAsia"/>
          <w:sz w:val="22"/>
        </w:rPr>
      </w:pPr>
      <w:r>
        <w:rPr>
          <w:rFonts w:ascii="ＭＳ 明朝" w:hAnsi="ＭＳ 明朝" w:asciiTheme="minorEastAsia" w:hAnsiTheme="minorEastAsia"/>
          <w:sz w:val="22"/>
        </w:rPr>
        <w:t>ア　幼児教育施設は、基本方針策定時６施設あったが、基本方針により平成１９    年３月に羽出庭つくし児童園が廃止となった。残り５施設については、平成２１年度に新たな総合施設の建設整備を完了し、平成２２年度の開設を目標としていたが、現在統合には至っていない。</w:t>
      </w:r>
    </w:p>
    <w:p>
      <w:pPr>
        <w:pStyle w:val="Normal"/>
        <w:ind w:left="630" w:firstLine="220"/>
        <w:rPr>
          <w:rFonts w:ascii="ＭＳ 明朝" w:hAnsi="ＭＳ 明朝" w:asciiTheme="minorEastAsia" w:hAnsiTheme="minorEastAsia"/>
          <w:sz w:val="22"/>
        </w:rPr>
      </w:pPr>
      <w:r>
        <w:rPr>
          <w:rFonts w:ascii="ＭＳ 明朝" w:hAnsi="ＭＳ 明朝" w:asciiTheme="minorEastAsia" w:hAnsiTheme="minorEastAsia"/>
          <w:sz w:val="22"/>
        </w:rPr>
        <w:t>しかしながら、平成２７年９月に公共施設等整備検討委員会より、認定こども園は小野町における子育て支援の最重要施設として速やかな整備を行うこととする旨の提言書が提出され、平成２８年度より認定こども園整備に向けた取組みが開始された。</w:t>
      </w:r>
    </w:p>
    <w:p>
      <w:pPr>
        <w:pStyle w:val="Normal"/>
        <w:ind w:left="880" w:hanging="88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880" w:hanging="880"/>
        <w:jc w:val="center"/>
        <w:rPr>
          <w:rFonts w:ascii="ＭＳ 明朝" w:hAnsi="ＭＳ 明朝" w:asciiTheme="minorEastAsia" w:hAnsiTheme="minorEastAsia"/>
          <w:sz w:val="22"/>
        </w:rPr>
      </w:pPr>
      <w:r>
        <w:rPr>
          <w:rFonts w:ascii="ＭＳ 明朝" w:hAnsi="ＭＳ 明朝" w:asciiTheme="minorEastAsia" w:hAnsiTheme="minorEastAsia"/>
          <w:sz w:val="22"/>
        </w:rPr>
        <w:t>1</w:t>
      </w:r>
    </w:p>
    <w:p>
      <w:pPr>
        <w:pStyle w:val="Normal"/>
        <w:ind w:left="880" w:hanging="88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880" w:hanging="88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860" w:hanging="440"/>
        <w:rPr/>
      </w:pPr>
      <w:r>
        <w:rPr>
          <w:rFonts w:ascii="ＭＳ 明朝" w:hAnsi="ＭＳ 明朝" w:asciiTheme="minorEastAsia" w:hAnsiTheme="minorEastAsia"/>
          <w:sz w:val="22"/>
        </w:rPr>
        <w:t>イ　小学校は、１０年以内（平成２８年度まで）に６小学校を統合し１校とする</w:t>
      </w:r>
    </w:p>
    <w:p>
      <w:pPr>
        <w:pStyle w:val="Normal"/>
        <w:ind w:left="860" w:hanging="440"/>
        <w:rPr/>
      </w:pPr>
      <w:r>
        <w:rPr>
          <w:rFonts w:ascii="ＭＳ 明朝" w:hAnsi="ＭＳ 明朝" w:asciiTheme="minorEastAsia" w:hAnsiTheme="minorEastAsia"/>
          <w:sz w:val="22"/>
        </w:rPr>
        <w:t xml:space="preserve">  </w:t>
      </w:r>
      <w:r>
        <w:rPr>
          <w:rFonts w:ascii="ＭＳ 明朝" w:hAnsi="ＭＳ 明朝" w:asciiTheme="minorEastAsia" w:hAnsiTheme="minorEastAsia"/>
          <w:sz w:val="22"/>
        </w:rPr>
        <w:t>こととし、この統合小学校の完成は平成２６年度としていたが、実現には至っ</w:t>
      </w:r>
    </w:p>
    <w:p>
      <w:pPr>
        <w:pStyle w:val="Normal"/>
        <w:ind w:left="860" w:hanging="440"/>
        <w:rPr/>
      </w:pPr>
      <w:r>
        <w:rPr>
          <w:rFonts w:ascii="ＭＳ 明朝" w:hAnsi="ＭＳ 明朝" w:asciiTheme="minorEastAsia" w:hAnsiTheme="minorEastAsia"/>
          <w:sz w:val="22"/>
        </w:rPr>
        <w:t xml:space="preserve">  </w:t>
      </w:r>
      <w:r>
        <w:rPr>
          <w:rFonts w:ascii="ＭＳ 明朝" w:hAnsi="ＭＳ 明朝" w:asciiTheme="minorEastAsia" w:hAnsiTheme="minorEastAsia"/>
          <w:sz w:val="22"/>
        </w:rPr>
        <w:t>ていない。</w:t>
      </w:r>
    </w:p>
    <w:p>
      <w:pPr>
        <w:pStyle w:val="Normal"/>
        <w:ind w:left="630" w:firstLine="220"/>
        <w:rPr>
          <w:rFonts w:ascii="ＭＳ 明朝" w:hAnsi="ＭＳ 明朝" w:asciiTheme="minorEastAsia" w:hAnsiTheme="minorEastAsia"/>
          <w:sz w:val="22"/>
        </w:rPr>
      </w:pPr>
      <w:r>
        <w:rPr>
          <w:rFonts w:ascii="ＭＳ 明朝" w:hAnsi="ＭＳ 明朝" w:asciiTheme="minorEastAsia" w:hAnsiTheme="minorEastAsia"/>
          <w:sz w:val="22"/>
        </w:rPr>
        <w:t>なお、この間において完全複式学級の極小規模学校を先行して統合することに関しては、夏井第二小学校と小戸神小学校を平成２２年３月に閉校し、それぞれ夏井第一小学校と小野新町小学校に統合したほか、雁股田分校についても小野新町小学校に統合し、４校が現存している。</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640" w:hanging="220"/>
        <w:rPr>
          <w:rFonts w:ascii="ＭＳ 明朝" w:hAnsi="ＭＳ 明朝" w:asciiTheme="minorEastAsia" w:hAnsiTheme="minorEastAsia"/>
          <w:sz w:val="22"/>
        </w:rPr>
      </w:pPr>
      <w:r>
        <w:rPr>
          <w:rFonts w:ascii="ＭＳ 明朝" w:hAnsi="ＭＳ 明朝" w:asciiTheme="minorEastAsia" w:hAnsiTheme="minorEastAsia"/>
          <w:sz w:val="22"/>
        </w:rPr>
        <w:t>ウ　中学校は、小野中学校の老朽化に伴い平成２２年度までに改築整備を完了することを目標としていたが、平成２２年度に新校舎の一部供用を開始し、平成２４年度に小野中学校改築整備事業が完了した。また、２中学校を１校とすることについては、小野中学校改築整備事業完了に合わせ、５年以内（平成２３年度）に統合することを目標としていたが、最終的に平成２６年３月に浮金中学校を閉校し、平成２６年４月に小野中学校に統合した。</w:t>
      </w:r>
    </w:p>
    <w:p>
      <w:pPr>
        <w:pStyle w:val="Normal"/>
        <w:ind w:left="870" w:hanging="66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221"/>
        <w:rPr>
          <w:rFonts w:ascii="ＭＳ 明朝" w:hAnsi="ＭＳ 明朝" w:asciiTheme="minorEastAsia" w:hAnsiTheme="minorEastAsia"/>
          <w:b/>
          <w:b/>
          <w:sz w:val="22"/>
        </w:rPr>
      </w:pPr>
      <w:r>
        <w:rPr>
          <w:rFonts w:ascii="ＭＳ 明朝" w:hAnsi="ＭＳ 明朝" w:asciiTheme="minorEastAsia" w:hAnsiTheme="minorEastAsia"/>
          <w:b/>
          <w:sz w:val="22"/>
        </w:rPr>
        <w:t>(</w:t>
      </w:r>
      <w:r>
        <w:rPr>
          <w:rFonts w:ascii="ＭＳ 明朝" w:hAnsi="ＭＳ 明朝" w:asciiTheme="minorEastAsia" w:hAnsiTheme="minorEastAsia"/>
          <w:b/>
          <w:sz w:val="22"/>
        </w:rPr>
        <w:t>２</w:t>
      </w:r>
      <w:r>
        <w:rPr>
          <w:rFonts w:ascii="ＭＳ 明朝" w:hAnsi="ＭＳ 明朝" w:asciiTheme="minorEastAsia" w:hAnsiTheme="minorEastAsia"/>
          <w:b/>
          <w:sz w:val="22"/>
        </w:rPr>
        <w:t>)</w:t>
      </w:r>
      <w:r>
        <w:rPr>
          <w:rFonts w:ascii="ＭＳ 明朝" w:hAnsi="ＭＳ 明朝" w:asciiTheme="minorEastAsia" w:hAnsiTheme="minorEastAsia"/>
          <w:b/>
          <w:sz w:val="22"/>
        </w:rPr>
        <w:t>　小学校の適正規模に関する課題</w:t>
      </w:r>
    </w:p>
    <w:p>
      <w:pPr>
        <w:pStyle w:val="Normal"/>
        <w:ind w:left="420" w:firstLine="220"/>
        <w:rPr>
          <w:rFonts w:ascii="ＭＳ 明朝" w:hAnsi="ＭＳ 明朝" w:asciiTheme="minorEastAsia" w:hAnsiTheme="minorEastAsia"/>
          <w:sz w:val="22"/>
        </w:rPr>
      </w:pPr>
      <w:r>
        <w:rPr>
          <w:rFonts w:ascii="ＭＳ 明朝" w:hAnsi="ＭＳ 明朝" w:asciiTheme="minorEastAsia" w:hAnsiTheme="minorEastAsia"/>
          <w:sz w:val="22"/>
        </w:rPr>
        <w:t>基本方針に示す小学校の完全複式学級の解消はされたが、現在小野新町小学校を除く３校において複式学級が存在し、小規模校における様々な課題が生じている。</w:t>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w:t>
      </w:r>
    </w:p>
    <w:p>
      <w:pPr>
        <w:pStyle w:val="Normal"/>
        <w:ind w:left="640" w:hanging="220"/>
        <w:rPr>
          <w:rFonts w:ascii="ＭＳ 明朝" w:hAnsi="ＭＳ 明朝" w:asciiTheme="minorEastAsia" w:hAnsiTheme="minorEastAsia"/>
          <w:sz w:val="22"/>
        </w:rPr>
      </w:pPr>
      <w:r>
        <w:rPr>
          <w:rFonts w:ascii="ＭＳ 明朝" w:hAnsi="ＭＳ 明朝" w:asciiTheme="minorEastAsia" w:hAnsiTheme="minorEastAsia"/>
          <w:sz w:val="22"/>
        </w:rPr>
        <w:t>ア　学校運営上の課題として、クラス替えができず、固定化した人間関係の中で６年間を過ごすことにより、多様性やコミュニケーション能力の向上が図りにくい。</w:t>
      </w:r>
    </w:p>
    <w:p>
      <w:pPr>
        <w:pStyle w:val="Normal"/>
        <w:ind w:left="630" w:firstLine="220"/>
        <w:rPr>
          <w:rFonts w:ascii="ＭＳ 明朝" w:hAnsi="ＭＳ 明朝" w:asciiTheme="minorEastAsia" w:hAnsiTheme="minorEastAsia"/>
          <w:sz w:val="22"/>
        </w:rPr>
      </w:pPr>
      <w:r>
        <w:rPr>
          <w:rFonts w:ascii="ＭＳ 明朝" w:hAnsi="ＭＳ 明朝" w:asciiTheme="minorEastAsia" w:hAnsiTheme="minorEastAsia"/>
          <w:sz w:val="22"/>
        </w:rPr>
        <w:t>また、切磋琢磨する環境の中で培われていく意欲の向上や、自己を表現する力の成長にも影響を及ぼしている。</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640" w:hanging="220"/>
        <w:rPr>
          <w:rFonts w:ascii="ＭＳ 明朝" w:hAnsi="ＭＳ 明朝" w:asciiTheme="minorEastAsia" w:hAnsiTheme="minorEastAsia"/>
          <w:sz w:val="22"/>
        </w:rPr>
      </w:pPr>
      <w:r>
        <w:rPr>
          <w:rFonts w:ascii="ＭＳ 明朝" w:hAnsi="ＭＳ 明朝" w:asciiTheme="minorEastAsia" w:hAnsiTheme="minorEastAsia"/>
          <w:sz w:val="22"/>
        </w:rPr>
        <w:t>イ　複式学級により、学習の直接指導と間接指導が混在し、教師及び児童双方に大きな負担が生じている。</w:t>
      </w:r>
    </w:p>
    <w:p>
      <w:pPr>
        <w:pStyle w:val="Normal"/>
        <w:ind w:left="630" w:firstLine="220"/>
        <w:rPr>
          <w:rFonts w:ascii="ＭＳ 明朝" w:hAnsi="ＭＳ 明朝" w:asciiTheme="minorEastAsia" w:hAnsiTheme="minorEastAsia"/>
          <w:sz w:val="22"/>
        </w:rPr>
      </w:pPr>
      <w:r>
        <w:rPr>
          <w:rFonts w:ascii="ＭＳ 明朝" w:hAnsi="ＭＳ 明朝" w:asciiTheme="minorEastAsia" w:hAnsiTheme="minorEastAsia"/>
          <w:sz w:val="22"/>
        </w:rPr>
        <w:t>また、児童の自主学習能力が大きく影響し、一定水準の学習環境を提供することが困難である。</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2"/>
        </w:rPr>
      </w:pPr>
      <w:r>
        <w:rPr>
          <w:rFonts w:ascii="ＭＳ 明朝" w:hAnsi="ＭＳ 明朝" w:asciiTheme="minorEastAsia" w:hAnsiTheme="minorEastAsia"/>
          <w:sz w:val="22"/>
        </w:rPr>
        <w:t>2</w:t>
      </w:r>
    </w:p>
    <w:p>
      <w:pPr>
        <w:pStyle w:val="Normal"/>
        <w:rPr>
          <w:rFonts w:ascii="ＭＳ 明朝" w:hAnsi="ＭＳ 明朝" w:asciiTheme="minorEastAsia" w:hAnsiTheme="minorEastAsia"/>
          <w:b/>
          <w:b/>
          <w:sz w:val="28"/>
          <w:szCs w:val="28"/>
        </w:rPr>
      </w:pPr>
      <w:r>
        <w:rPr/>
      </w:r>
    </w:p>
    <w:p>
      <w:pPr>
        <w:pStyle w:val="Normal"/>
        <w:rPr>
          <w:rFonts w:ascii="ＭＳ 明朝" w:hAnsi="ＭＳ 明朝" w:asciiTheme="minorEastAsia" w:hAnsiTheme="minorEastAsia"/>
          <w:b/>
          <w:b/>
          <w:sz w:val="28"/>
          <w:szCs w:val="28"/>
        </w:rPr>
      </w:pPr>
      <w:r>
        <w:rPr>
          <w:rFonts w:ascii="ＭＳ 明朝" w:hAnsi="ＭＳ 明朝" w:asciiTheme="minorEastAsia" w:hAnsiTheme="minorEastAsia"/>
          <w:b/>
          <w:sz w:val="28"/>
          <w:szCs w:val="28"/>
        </w:rPr>
        <w:t>３　新たな基本方針</w:t>
      </w:r>
    </w:p>
    <w:p>
      <w:pPr>
        <w:pStyle w:val="Normal"/>
        <w:rPr>
          <w:rFonts w:ascii="ＭＳ 明朝" w:hAnsi="ＭＳ 明朝" w:asciiTheme="minorEastAsia" w:hAnsiTheme="minorEastAsia"/>
          <w:b/>
          <w:b/>
          <w:bCs/>
          <w:sz w:val="22"/>
        </w:rPr>
      </w:pPr>
      <w:r>
        <w:rPr>
          <w:rFonts w:asciiTheme="minorEastAsia" w:hAnsiTheme="minorEastAsia" w:ascii="ＭＳ 明朝" w:hAnsi="ＭＳ 明朝"/>
          <w:b/>
          <w:bCs/>
          <w:sz w:val="22"/>
        </w:rPr>
      </w:r>
    </w:p>
    <w:p>
      <w:pPr>
        <w:pStyle w:val="Normal"/>
        <w:ind w:firstLine="221"/>
        <w:rPr>
          <w:rFonts w:ascii="ＭＳ 明朝" w:hAnsi="ＭＳ 明朝" w:asciiTheme="minorEastAsia" w:hAnsiTheme="minorEastAsia"/>
          <w:b/>
          <w:b/>
          <w:bCs/>
          <w:sz w:val="22"/>
        </w:rPr>
      </w:pPr>
      <w:r>
        <w:rPr>
          <w:rFonts w:ascii="ＭＳ 明朝" w:hAnsi="ＭＳ 明朝" w:asciiTheme="minorEastAsia" w:hAnsiTheme="minorEastAsia"/>
          <w:b/>
          <w:bCs/>
          <w:sz w:val="22"/>
        </w:rPr>
        <w:t>(</w:t>
      </w:r>
      <w:r>
        <w:rPr>
          <w:rFonts w:ascii="ＭＳ 明朝" w:hAnsi="ＭＳ 明朝" w:asciiTheme="minorEastAsia" w:hAnsiTheme="minorEastAsia"/>
          <w:b/>
          <w:bCs/>
          <w:sz w:val="22"/>
        </w:rPr>
        <w:t>１</w:t>
      </w:r>
      <w:r>
        <w:rPr>
          <w:rFonts w:ascii="ＭＳ 明朝" w:hAnsi="ＭＳ 明朝" w:asciiTheme="minorEastAsia" w:hAnsiTheme="minorEastAsia"/>
          <w:b/>
          <w:bCs/>
          <w:sz w:val="22"/>
        </w:rPr>
        <w:t>)</w:t>
      </w:r>
      <w:r>
        <w:rPr>
          <w:rFonts w:ascii="ＭＳ 明朝" w:hAnsi="ＭＳ 明朝" w:asciiTheme="minorEastAsia" w:hAnsiTheme="minorEastAsia"/>
          <w:b/>
          <w:bCs/>
          <w:sz w:val="22"/>
        </w:rPr>
        <w:t>　幼児教育施設に関すること</w:t>
      </w:r>
    </w:p>
    <w:p>
      <w:pPr>
        <w:pStyle w:val="Normal"/>
        <w:ind w:firstLine="663"/>
        <w:rPr>
          <w:rFonts w:ascii="ＭＳ 明朝" w:hAnsi="ＭＳ 明朝" w:asciiTheme="minorEastAsia" w:hAnsiTheme="minorEastAsia"/>
          <w:b/>
          <w:b/>
          <w:bCs/>
          <w:sz w:val="22"/>
        </w:rPr>
      </w:pPr>
      <w:r>
        <w:rPr>
          <w:rFonts w:ascii="ＭＳ 明朝" w:hAnsi="ＭＳ 明朝" w:asciiTheme="minorEastAsia" w:hAnsiTheme="minorEastAsia"/>
          <w:b/>
          <w:bCs/>
          <w:sz w:val="22"/>
        </w:rPr>
        <w:t>ア　新たな総合施設の整備について</w:t>
      </w:r>
    </w:p>
    <w:p>
      <w:pPr>
        <w:pStyle w:val="Normal"/>
        <w:ind w:left="630" w:firstLine="220"/>
        <w:rPr>
          <w:rFonts w:ascii="ＭＳ 明朝" w:hAnsi="ＭＳ 明朝" w:asciiTheme="minorEastAsia" w:hAnsiTheme="minorEastAsia"/>
          <w:sz w:val="22"/>
        </w:rPr>
      </w:pPr>
      <w:r>
        <w:rPr>
          <w:rFonts w:ascii="ＭＳ 明朝" w:hAnsi="ＭＳ 明朝" w:asciiTheme="minorEastAsia" w:hAnsiTheme="minorEastAsia"/>
          <w:sz w:val="22"/>
        </w:rPr>
        <w:t>各幼児教育施設建設当時、３歳未満児は家庭保育を実施している世帯が多かったため、３歳未満児保育の需要はそれほど高くはなかった。しかし現在では、核家族化や夫婦共働き、祖父母の就労等環境の変化により、３歳未満児の保育ニーズが増加している。</w:t>
      </w:r>
    </w:p>
    <w:p>
      <w:pPr>
        <w:pStyle w:val="Normal"/>
        <w:ind w:left="630" w:firstLine="220"/>
        <w:rPr>
          <w:rFonts w:ascii="ＭＳ 明朝" w:hAnsi="ＭＳ 明朝" w:asciiTheme="minorEastAsia" w:hAnsiTheme="minorEastAsia"/>
          <w:sz w:val="22"/>
        </w:rPr>
      </w:pPr>
      <w:r>
        <w:rPr>
          <w:rFonts w:ascii="ＭＳ 明朝" w:hAnsi="ＭＳ 明朝" w:asciiTheme="minorEastAsia" w:hAnsiTheme="minorEastAsia"/>
          <w:sz w:val="22"/>
        </w:rPr>
        <w:t>現在入園児の全体数は減少している一方で、３歳未満児は一人当たりの必要床面積、必要保育士数が多くなることから、施設規模や保育士数の検証が必要とされている。また、夏井おおすぎ保育園以外の施設は老朽化が進み、さらには公共施設等整備検討委員会からも早急に新たな施設整備を求める旨の提言書が出されていることを踏まえ、時代に呼応した認定こども園の整備を速やかに進める必要がある。</w:t>
      </w:r>
    </w:p>
    <w:p>
      <w:pPr>
        <w:pStyle w:val="Normal"/>
        <w:ind w:firstLine="663"/>
        <w:rPr>
          <w:rFonts w:ascii="ＭＳ 明朝" w:hAnsi="ＭＳ 明朝" w:asciiTheme="minorEastAsia" w:hAnsiTheme="minorEastAsia"/>
          <w:b/>
          <w:b/>
          <w:bCs/>
          <w:sz w:val="22"/>
        </w:rPr>
      </w:pPr>
      <w:r>
        <w:rPr>
          <w:rFonts w:ascii="ＭＳ 明朝" w:hAnsi="ＭＳ 明朝" w:asciiTheme="minorEastAsia" w:hAnsiTheme="minorEastAsia"/>
          <w:b/>
          <w:bCs/>
          <w:sz w:val="22"/>
        </w:rPr>
        <w:t>イ　幼稚園、保育園及び児童園の統合について</w:t>
      </w:r>
    </w:p>
    <w:p>
      <w:pPr>
        <w:pStyle w:val="Normal"/>
        <w:ind w:left="630" w:firstLine="220"/>
        <w:rPr>
          <w:rFonts w:ascii="ＭＳ 明朝" w:hAnsi="ＭＳ 明朝" w:asciiTheme="minorEastAsia" w:hAnsiTheme="minorEastAsia"/>
          <w:sz w:val="22"/>
        </w:rPr>
      </w:pPr>
      <w:r>
        <w:rPr>
          <w:rFonts w:ascii="ＭＳ 明朝" w:hAnsi="ＭＳ 明朝" w:asciiTheme="minorEastAsia" w:hAnsiTheme="minorEastAsia"/>
          <w:sz w:val="22"/>
        </w:rPr>
        <w:t>各施設の園児数の減少や保育士の確保も課題になっていることなどから、十分な保育サービスや就学前教育を受けるために、各幼児教育施設の認定こども園への統合についても検討する必要がある。</w:t>
      </w:r>
    </w:p>
    <w:p>
      <w:pPr>
        <w:pStyle w:val="Normal"/>
        <w:ind w:left="660" w:hanging="660"/>
        <w:rPr>
          <w:rFonts w:ascii="ＭＳ 明朝" w:hAnsi="ＭＳ 明朝" w:asciiTheme="minorEastAsia" w:hAnsiTheme="minorEastAsia"/>
          <w:sz w:val="22"/>
        </w:rPr>
      </w:pPr>
      <w:r>
        <w:rPr>
          <w:rFonts w:ascii="ＭＳ 明朝" w:hAnsi="ＭＳ 明朝" w:asciiTheme="minorEastAsia" w:hAnsiTheme="minorEastAsia"/>
          <w:sz w:val="22"/>
        </w:rPr>
        <w:t>　　　　また、その際には認定子ども園に集まった子ども達を４つの小学校に分散させることのないよう、小学校の統廃合とも十分な整合を図る必要がある。</w:t>
      </w:r>
    </w:p>
    <w:p>
      <w:pPr>
        <w:pStyle w:val="Normal"/>
        <w:rPr>
          <w:rFonts w:ascii="ＭＳ 明朝" w:hAnsi="ＭＳ 明朝" w:asciiTheme="minorEastAsia" w:hAnsiTheme="minorEastAsia"/>
          <w:b/>
          <w:b/>
          <w:bCs/>
          <w:sz w:val="22"/>
        </w:rPr>
      </w:pPr>
      <w:r>
        <w:rPr>
          <w:rFonts w:asciiTheme="minorEastAsia" w:hAnsiTheme="minorEastAsia" w:ascii="ＭＳ 明朝" w:hAnsi="ＭＳ 明朝"/>
          <w:b/>
          <w:bCs/>
          <w:sz w:val="22"/>
        </w:rPr>
      </w:r>
    </w:p>
    <w:p>
      <w:pPr>
        <w:pStyle w:val="Normal"/>
        <w:ind w:firstLine="221"/>
        <w:rPr>
          <w:rFonts w:ascii="ＭＳ 明朝" w:hAnsi="ＭＳ 明朝" w:asciiTheme="minorEastAsia" w:hAnsiTheme="minorEastAsia"/>
          <w:b/>
          <w:b/>
          <w:bCs/>
          <w:sz w:val="22"/>
        </w:rPr>
      </w:pPr>
      <w:r>
        <w:rPr>
          <w:rFonts w:ascii="ＭＳ 明朝" w:hAnsi="ＭＳ 明朝" w:asciiTheme="minorEastAsia" w:hAnsiTheme="minorEastAsia"/>
          <w:b/>
          <w:bCs/>
          <w:sz w:val="22"/>
        </w:rPr>
        <w:t>(</w:t>
      </w:r>
      <w:r>
        <w:rPr>
          <w:rFonts w:ascii="ＭＳ 明朝" w:hAnsi="ＭＳ 明朝" w:asciiTheme="minorEastAsia" w:hAnsiTheme="minorEastAsia"/>
          <w:b/>
          <w:bCs/>
          <w:sz w:val="22"/>
        </w:rPr>
        <w:t>２</w:t>
      </w:r>
      <w:r>
        <w:rPr>
          <w:rFonts w:ascii="ＭＳ 明朝" w:hAnsi="ＭＳ 明朝" w:asciiTheme="minorEastAsia" w:hAnsiTheme="minorEastAsia"/>
          <w:b/>
          <w:bCs/>
          <w:sz w:val="22"/>
        </w:rPr>
        <w:t>)</w:t>
      </w:r>
      <w:r>
        <w:rPr>
          <w:rFonts w:ascii="ＭＳ 明朝" w:hAnsi="ＭＳ 明朝" w:asciiTheme="minorEastAsia" w:hAnsiTheme="minorEastAsia"/>
          <w:b/>
          <w:bCs/>
          <w:sz w:val="22"/>
        </w:rPr>
        <w:t>　小中学校に関すること</w:t>
      </w:r>
    </w:p>
    <w:p>
      <w:pPr>
        <w:pStyle w:val="Normal"/>
        <w:ind w:left="440" w:hanging="440"/>
        <w:rPr>
          <w:rFonts w:ascii="ＭＳ 明朝" w:hAnsi="ＭＳ 明朝" w:asciiTheme="minorEastAsia" w:hAnsiTheme="minorEastAsia"/>
          <w:sz w:val="22"/>
        </w:rPr>
      </w:pPr>
      <w:r>
        <w:rPr>
          <w:rFonts w:ascii="ＭＳ 明朝" w:hAnsi="ＭＳ 明朝" w:asciiTheme="minorEastAsia" w:hAnsiTheme="minorEastAsia"/>
          <w:sz w:val="22"/>
        </w:rPr>
        <w:t>　　　近年の教育内容の量的、質的充実や、児童・生徒の発達の早期化などからくる中１ギャップ、中学校進学時の不登校など、児童・生徒を取り巻く社会的・生理的変化に対応した教育環境の整備が求められている。</w:t>
      </w:r>
    </w:p>
    <w:p>
      <w:pPr>
        <w:pStyle w:val="Normal"/>
        <w:ind w:left="440" w:hanging="440"/>
        <w:rPr>
          <w:rFonts w:ascii="ＭＳ 明朝" w:hAnsi="ＭＳ 明朝" w:asciiTheme="minorEastAsia" w:hAnsiTheme="minorEastAsia"/>
          <w:sz w:val="22"/>
        </w:rPr>
      </w:pPr>
      <w:r>
        <w:rPr>
          <w:rFonts w:ascii="ＭＳ 明朝" w:hAnsi="ＭＳ 明朝" w:asciiTheme="minorEastAsia" w:hAnsiTheme="minorEastAsia"/>
          <w:sz w:val="22"/>
        </w:rPr>
        <w:t>　　　このことから、これまでの小中連携をさらに深め、義務教育９年間を見通した一貫性のある教育環境づくりを推進していく。</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663"/>
        <w:rPr>
          <w:rFonts w:ascii="ＭＳ 明朝" w:hAnsi="ＭＳ 明朝" w:asciiTheme="minorEastAsia" w:hAnsiTheme="minorEastAsia"/>
          <w:b/>
          <w:b/>
          <w:sz w:val="22"/>
        </w:rPr>
      </w:pPr>
      <w:r>
        <w:rPr>
          <w:rFonts w:ascii="ＭＳ 明朝" w:hAnsi="ＭＳ 明朝" w:asciiTheme="minorEastAsia" w:hAnsiTheme="minorEastAsia"/>
          <w:b/>
          <w:sz w:val="22"/>
        </w:rPr>
        <w:t>ア　小学校の統廃合について</w:t>
      </w:r>
    </w:p>
    <w:p>
      <w:pPr>
        <w:pStyle w:val="Normal"/>
        <w:ind w:firstLine="221"/>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ind w:firstLine="663"/>
        <w:rPr>
          <w:rFonts w:ascii="ＭＳ 明朝" w:hAnsi="ＭＳ 明朝" w:asciiTheme="minorEastAsia" w:hAnsiTheme="minorEastAsia"/>
          <w:b/>
          <w:b/>
          <w:sz w:val="22"/>
        </w:rPr>
      </w:pPr>
      <w:r>
        <w:rPr>
          <w:rFonts w:ascii="ＭＳ 明朝" w:hAnsi="ＭＳ 明朝" w:asciiTheme="minorEastAsia" w:hAnsiTheme="minorEastAsia"/>
          <w:b/>
          <w:sz w:val="22"/>
        </w:rPr>
        <w:t>(</w:t>
      </w:r>
      <w:r>
        <w:rPr>
          <w:rFonts w:ascii="ＭＳ 明朝" w:hAnsi="ＭＳ 明朝" w:asciiTheme="minorEastAsia" w:hAnsiTheme="minorEastAsia"/>
          <w:b/>
          <w:sz w:val="22"/>
        </w:rPr>
        <w:t>ア</w:t>
      </w:r>
      <w:r>
        <w:rPr>
          <w:rFonts w:ascii="ＭＳ 明朝" w:hAnsi="ＭＳ 明朝" w:asciiTheme="minorEastAsia" w:hAnsiTheme="minorEastAsia"/>
          <w:b/>
          <w:sz w:val="22"/>
        </w:rPr>
        <w:t>)</w:t>
      </w:r>
      <w:r>
        <w:rPr>
          <w:rFonts w:ascii="ＭＳ 明朝" w:hAnsi="ＭＳ 明朝" w:asciiTheme="minorEastAsia" w:hAnsiTheme="minorEastAsia"/>
          <w:b/>
          <w:sz w:val="22"/>
        </w:rPr>
        <w:t>　統廃合の基本的な考え方</w:t>
      </w:r>
    </w:p>
    <w:p>
      <w:pPr>
        <w:pStyle w:val="Normal"/>
        <w:ind w:left="840" w:firstLine="220"/>
        <w:rPr>
          <w:rFonts w:ascii="ＭＳ 明朝" w:hAnsi="ＭＳ 明朝" w:asciiTheme="minorEastAsia" w:hAnsiTheme="minorEastAsia"/>
          <w:sz w:val="22"/>
        </w:rPr>
      </w:pPr>
      <w:r>
        <w:rPr>
          <w:rFonts w:ascii="ＭＳ 明朝" w:hAnsi="ＭＳ 明朝" w:asciiTheme="minorEastAsia" w:hAnsiTheme="minorEastAsia"/>
          <w:sz w:val="22"/>
        </w:rPr>
        <w:t>基本方針を策定した平成１８年度には６９７名であった児童数は、平成２８年度には５０３名へ減少し、平成３４年度には４１４名まで減少することが見込まれている。</w:t>
      </w:r>
    </w:p>
    <w:p>
      <w:pPr>
        <w:pStyle w:val="Normal"/>
        <w:ind w:left="840" w:firstLine="220"/>
        <w:rPr>
          <w:rFonts w:ascii="ＭＳ 明朝" w:hAnsi="ＭＳ 明朝" w:asciiTheme="minorEastAsia" w:hAnsiTheme="minorEastAsia"/>
          <w:sz w:val="22"/>
        </w:rPr>
      </w:pPr>
      <w:r>
        <w:rPr>
          <w:rFonts w:ascii="ＭＳ 明朝" w:hAnsi="ＭＳ 明朝" w:asciiTheme="minorEastAsia" w:hAnsiTheme="minorEastAsia"/>
          <w:sz w:val="22"/>
        </w:rPr>
        <w:t>平成２８年度において町内４小学校の学級数の合計は、５つの複式学級を含め２６学級であり、１学級単位の児童数は最大で３１人、最少で５人となっている。今後の児童数の減少を見込むとさらに学級単位の児童数減少は必至であり、小規模校の複式学級の常態化など、児童が切磋琢磨し、社会性を育むために必要な集団規模の維持が困難になってくる。</w:t>
      </w:r>
    </w:p>
    <w:p>
      <w:pPr>
        <w:pStyle w:val="Normal"/>
        <w:ind w:left="840" w:firstLine="220"/>
        <w:rPr>
          <w:rFonts w:ascii="ＭＳ 明朝" w:hAnsi="ＭＳ 明朝" w:asciiTheme="minorEastAsia" w:hAnsiTheme="minorEastAsia"/>
          <w:sz w:val="22"/>
        </w:rPr>
      </w:pPr>
      <w:r>
        <w:rPr>
          <w:rFonts w:ascii="ＭＳ 明朝" w:hAnsi="ＭＳ 明朝" w:asciiTheme="minorEastAsia" w:hAnsiTheme="minorEastAsia"/>
          <w:sz w:val="22"/>
        </w:rPr>
        <w:t>このことから今後は、町内４小学校を１校とする統合を速やかに進め、学校の適正規模化を図り、</w:t>
      </w:r>
      <w:r>
        <w:rPr/>
        <w:t>基礎的・基本的な知識・技能と思考力・判断力・表現力に加え、課題の発見・解決に向け主体的・協働的に学び、確かな学力を身につけるため</w:t>
      </w:r>
      <w:r>
        <w:rPr>
          <w:rFonts w:ascii="ＭＳ 明朝" w:hAnsi="ＭＳ 明朝" w:asciiTheme="minorEastAsia" w:hAnsiTheme="minorEastAsia"/>
          <w:sz w:val="22"/>
        </w:rPr>
        <w:t>の教育環境の提供を図っていく。</w:t>
      </w:r>
    </w:p>
    <w:p>
      <w:pPr>
        <w:pStyle w:val="Normal"/>
        <w:jc w:val="center"/>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2"/>
        </w:rPr>
      </w:pPr>
      <w:r>
        <w:rPr>
          <w:rFonts w:ascii="ＭＳ 明朝" w:hAnsi="ＭＳ 明朝" w:asciiTheme="minorEastAsia" w:hAnsiTheme="minorEastAsia"/>
          <w:sz w:val="22"/>
        </w:rPr>
        <w:t>3</w:t>
      </w:r>
    </w:p>
    <w:p>
      <w:pPr>
        <w:pStyle w:val="Normal"/>
        <w:ind w:left="317" w:hanging="0"/>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ind w:left="317" w:hanging="0"/>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ind w:firstLine="663"/>
        <w:rPr>
          <w:rFonts w:ascii="ＭＳ 明朝" w:hAnsi="ＭＳ 明朝" w:asciiTheme="minorEastAsia" w:hAnsiTheme="minorEastAsia"/>
          <w:b/>
          <w:b/>
          <w:sz w:val="22"/>
        </w:rPr>
      </w:pPr>
      <w:r>
        <w:rPr>
          <w:rFonts w:ascii="ＭＳ 明朝" w:hAnsi="ＭＳ 明朝" w:asciiTheme="minorEastAsia" w:hAnsiTheme="minorEastAsia"/>
          <w:b/>
          <w:sz w:val="22"/>
        </w:rPr>
        <w:t>(</w:t>
      </w:r>
      <w:r>
        <w:rPr>
          <w:rFonts w:ascii="ＭＳ 明朝" w:hAnsi="ＭＳ 明朝" w:asciiTheme="minorEastAsia" w:hAnsiTheme="minorEastAsia"/>
          <w:b/>
          <w:sz w:val="22"/>
        </w:rPr>
        <w:t>イ</w:t>
      </w:r>
      <w:r>
        <w:rPr>
          <w:rFonts w:ascii="ＭＳ 明朝" w:hAnsi="ＭＳ 明朝" w:asciiTheme="minorEastAsia" w:hAnsiTheme="minorEastAsia"/>
          <w:b/>
          <w:sz w:val="22"/>
        </w:rPr>
        <w:t>)</w:t>
      </w:r>
      <w:r>
        <w:rPr>
          <w:rFonts w:ascii="ＭＳ 明朝" w:hAnsi="ＭＳ 明朝" w:asciiTheme="minorEastAsia" w:hAnsiTheme="minorEastAsia"/>
          <w:b/>
          <w:sz w:val="22"/>
        </w:rPr>
        <w:t>　統合時期等</w:t>
      </w:r>
    </w:p>
    <w:p>
      <w:pPr>
        <w:pStyle w:val="Normal"/>
        <w:ind w:left="840" w:firstLine="220"/>
        <w:rPr>
          <w:rFonts w:ascii="ＭＳ 明朝" w:hAnsi="ＭＳ 明朝" w:asciiTheme="minorEastAsia" w:hAnsiTheme="minorEastAsia"/>
          <w:sz w:val="22"/>
        </w:rPr>
      </w:pPr>
      <w:r>
        <w:rPr>
          <w:rFonts w:ascii="ＭＳ 明朝" w:hAnsi="ＭＳ 明朝" w:asciiTheme="minorEastAsia" w:hAnsiTheme="minorEastAsia"/>
          <w:sz w:val="22"/>
        </w:rPr>
        <w:t>保護者や地域と統合後の学校の将来ビジョンの共有を図り、合意形成にかかる期間を十分に設けることとし、統合時期は「平成３２年４月」とする。</w:t>
      </w:r>
    </w:p>
    <w:p>
      <w:pPr>
        <w:pStyle w:val="Normal"/>
        <w:ind w:left="840" w:firstLine="220"/>
        <w:rPr>
          <w:rFonts w:ascii="ＭＳ 明朝" w:hAnsi="ＭＳ 明朝" w:asciiTheme="minorEastAsia" w:hAnsiTheme="minorEastAsia"/>
          <w:sz w:val="22"/>
        </w:rPr>
      </w:pPr>
      <w:r>
        <w:rPr>
          <w:rFonts w:ascii="ＭＳ 明朝" w:hAnsi="ＭＳ 明朝" w:asciiTheme="minorEastAsia" w:hAnsiTheme="minorEastAsia"/>
          <w:sz w:val="22"/>
        </w:rPr>
        <w:t>統合スタイルは町内４小学校について「対等」とし、新たな小学校校舎の建設整備を行う。</w:t>
      </w:r>
    </w:p>
    <w:p>
      <w:pPr>
        <w:pStyle w:val="Normal"/>
        <w:ind w:left="840" w:firstLine="220"/>
        <w:rPr>
          <w:rFonts w:ascii="ＭＳ 明朝" w:hAnsi="ＭＳ 明朝" w:asciiTheme="minorEastAsia" w:hAnsiTheme="minorEastAsia"/>
          <w:sz w:val="22"/>
        </w:rPr>
      </w:pPr>
      <w:r>
        <w:rPr>
          <w:rFonts w:ascii="ＭＳ 明朝" w:hAnsi="ＭＳ 明朝" w:asciiTheme="minorEastAsia" w:hAnsiTheme="minorEastAsia"/>
          <w:sz w:val="22"/>
        </w:rPr>
        <w:t>なお、新校舎整備に向けては、用地の確保や建設期間など一定の期間を要することから、新校舎整備が完了するまでの間、町内の全小学生について受入可能な小野新町小学校を「仮校舎」として学校運営を行っていく。</w:t>
      </w:r>
    </w:p>
    <w:p>
      <w:pPr>
        <w:pStyle w:val="Normal"/>
        <w:ind w:left="220" w:hanging="22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220" w:hanging="22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220" w:hanging="22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220" w:hanging="22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220" w:hanging="22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drawing>
          <wp:inline distT="0" distB="0" distL="0" distR="0">
            <wp:extent cx="5400040" cy="352806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2"/>
        </w:rPr>
      </w:pPr>
      <w:r>
        <w:rPr>
          <w:rFonts w:ascii="ＭＳ 明朝" w:hAnsi="ＭＳ 明朝" w:asciiTheme="minorEastAsia" w:hAnsiTheme="minorEastAsia"/>
          <w:sz w:val="22"/>
        </w:rPr>
        <w:t>4</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drawing>
          <wp:inline distT="0" distB="0" distL="0" distR="0">
            <wp:extent cx="5400040" cy="338328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drawing>
          <wp:inline distT="0" distB="0" distL="0" distR="0">
            <wp:extent cx="5400040" cy="321310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2"/>
        </w:rPr>
      </w:pPr>
      <w:r>
        <w:rPr>
          <w:rFonts w:ascii="ＭＳ 明朝" w:hAnsi="ＭＳ 明朝" w:asciiTheme="minorEastAsia" w:hAnsiTheme="minorEastAsia"/>
          <w:sz w:val="22"/>
        </w:rPr>
        <w:t>5</w:t>
      </w:r>
    </w:p>
    <w:p>
      <w:pPr>
        <w:pStyle w:val="Normal"/>
        <w:ind w:firstLine="663"/>
        <w:rPr>
          <w:rFonts w:ascii="ＭＳ 明朝" w:hAnsi="ＭＳ 明朝" w:asciiTheme="minorEastAsia" w:hAnsiTheme="minorEastAsia"/>
          <w:b/>
          <w:b/>
          <w:sz w:val="22"/>
        </w:rPr>
      </w:pPr>
      <w:r>
        <w:rPr/>
      </w:r>
    </w:p>
    <w:p>
      <w:pPr>
        <w:pStyle w:val="Normal"/>
        <w:ind w:firstLine="663"/>
        <w:rPr>
          <w:rFonts w:ascii="ＭＳ 明朝" w:hAnsi="ＭＳ 明朝" w:asciiTheme="minorEastAsia" w:hAnsiTheme="minorEastAsia"/>
          <w:b/>
          <w:b/>
          <w:sz w:val="22"/>
        </w:rPr>
      </w:pPr>
      <w:r>
        <w:rPr>
          <w:rFonts w:ascii="ＭＳ 明朝" w:hAnsi="ＭＳ 明朝" w:asciiTheme="minorEastAsia" w:hAnsiTheme="minorEastAsia"/>
          <w:b/>
          <w:sz w:val="22"/>
        </w:rPr>
        <w:t>(</w:t>
      </w:r>
      <w:r>
        <w:rPr>
          <w:rFonts w:ascii="ＭＳ 明朝" w:hAnsi="ＭＳ 明朝" w:asciiTheme="minorEastAsia" w:hAnsiTheme="minorEastAsia"/>
          <w:b/>
          <w:sz w:val="22"/>
        </w:rPr>
        <w:t>ウ</w:t>
      </w:r>
      <w:r>
        <w:rPr>
          <w:rFonts w:ascii="ＭＳ 明朝" w:hAnsi="ＭＳ 明朝" w:asciiTheme="minorEastAsia" w:hAnsiTheme="minorEastAsia"/>
          <w:b/>
          <w:sz w:val="22"/>
        </w:rPr>
        <w:t>)</w:t>
      </w:r>
      <w:r>
        <w:rPr>
          <w:rFonts w:ascii="ＭＳ 明朝" w:hAnsi="ＭＳ 明朝" w:asciiTheme="minorEastAsia" w:hAnsiTheme="minorEastAsia"/>
          <w:b/>
          <w:sz w:val="22"/>
        </w:rPr>
        <w:t>　統廃合に際し配慮すべき事項について</w:t>
      </w:r>
    </w:p>
    <w:p>
      <w:pPr>
        <w:pStyle w:val="Normal"/>
        <w:ind w:firstLine="221"/>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ind w:left="221" w:firstLine="663"/>
        <w:rPr>
          <w:rFonts w:ascii="ＭＳ 明朝" w:hAnsi="ＭＳ 明朝" w:asciiTheme="minorEastAsia" w:hAnsiTheme="minorEastAsia"/>
          <w:b/>
          <w:b/>
          <w:sz w:val="22"/>
        </w:rPr>
      </w:pPr>
      <w:r>
        <w:rPr>
          <w:rFonts w:ascii="ＭＳ 明朝" w:hAnsi="ＭＳ 明朝" w:asciiTheme="minorEastAsia" w:hAnsiTheme="minorEastAsia"/>
          <w:b/>
          <w:sz w:val="22"/>
        </w:rPr>
        <w:t>ａ　学校運営について</w:t>
      </w:r>
    </w:p>
    <w:p>
      <w:pPr>
        <w:pStyle w:val="Normal"/>
        <w:ind w:left="840" w:firstLine="220"/>
        <w:rPr/>
      </w:pPr>
      <w:r>
        <w:rPr>
          <w:rFonts w:ascii="ＭＳ 明朝" w:hAnsi="ＭＳ 明朝" w:asciiTheme="minorEastAsia" w:hAnsiTheme="minorEastAsia"/>
          <w:sz w:val="22"/>
        </w:rPr>
        <w:t>統合を契機として、学力向上カリキュラムの強化や体力向上の取り組み、情報化・グローバル化に対応したＩＣＴ教育の充実や、小規模校では十分な対応が困難であった一人ひとりの個に応じた特別支援教育の充実も図り、全ての子ども達が多くの選択と多様なチャレンジが可能となる機会の確保及び拡大が図られるよう配慮する。</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883"/>
        <w:rPr>
          <w:rFonts w:ascii="ＭＳ 明朝" w:hAnsi="ＭＳ 明朝" w:asciiTheme="minorEastAsia" w:hAnsiTheme="minorEastAsia"/>
          <w:b/>
          <w:b/>
          <w:sz w:val="22"/>
        </w:rPr>
      </w:pPr>
      <w:r>
        <w:rPr>
          <w:rFonts w:ascii="ＭＳ 明朝" w:hAnsi="ＭＳ 明朝" w:asciiTheme="minorEastAsia" w:hAnsiTheme="minorEastAsia"/>
          <w:b/>
          <w:sz w:val="22"/>
        </w:rPr>
        <w:t>ｂ　通学支援について</w:t>
      </w:r>
    </w:p>
    <w:p>
      <w:pPr>
        <w:pStyle w:val="Normal"/>
        <w:ind w:left="840" w:firstLine="220"/>
        <w:rPr>
          <w:rFonts w:ascii="ＭＳ 明朝" w:hAnsi="ＭＳ 明朝" w:asciiTheme="minorEastAsia" w:hAnsiTheme="minorEastAsia"/>
          <w:sz w:val="22"/>
        </w:rPr>
      </w:pPr>
      <w:r>
        <w:rPr>
          <w:rFonts w:ascii="ＭＳ 明朝" w:hAnsi="ＭＳ 明朝" w:asciiTheme="minorEastAsia" w:hAnsiTheme="minorEastAsia"/>
          <w:sz w:val="22"/>
        </w:rPr>
        <w:t>統合により児童の通学距離が延びることから、スクールバス等の通学支援を行う一方で、徒歩時間の減少による体力の低下などにも配慮する。</w:t>
      </w:r>
    </w:p>
    <w:p>
      <w:pPr>
        <w:pStyle w:val="Normal"/>
        <w:ind w:left="420" w:firstLine="660"/>
        <w:rPr>
          <w:rFonts w:ascii="ＭＳ 明朝" w:hAnsi="ＭＳ 明朝" w:asciiTheme="minorEastAsia" w:hAnsiTheme="minorEastAsia"/>
          <w:sz w:val="22"/>
        </w:rPr>
      </w:pPr>
      <w:r>
        <w:rPr>
          <w:rFonts w:ascii="ＭＳ 明朝" w:hAnsi="ＭＳ 明朝" w:asciiTheme="minorEastAsia" w:hAnsiTheme="minorEastAsia"/>
          <w:sz w:val="22"/>
        </w:rPr>
        <w:t>また、放課後の児童の活動支援や居場所づくりの拡充を図る。</w:t>
      </w:r>
    </w:p>
    <w:p>
      <w:pPr>
        <w:pStyle w:val="Normal"/>
        <w:ind w:left="420" w:firstLine="22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883"/>
        <w:rPr>
          <w:rFonts w:ascii="ＭＳ 明朝" w:hAnsi="ＭＳ 明朝" w:asciiTheme="minorEastAsia" w:hAnsiTheme="minorEastAsia"/>
          <w:b/>
          <w:b/>
          <w:sz w:val="22"/>
        </w:rPr>
      </w:pPr>
      <w:r>
        <w:rPr>
          <w:rFonts w:ascii="ＭＳ 明朝" w:hAnsi="ＭＳ 明朝" w:asciiTheme="minorEastAsia" w:hAnsiTheme="minorEastAsia"/>
          <w:b/>
          <w:sz w:val="22"/>
        </w:rPr>
        <w:t>ｃ　環境変化に向けた児童への配慮について</w:t>
      </w:r>
    </w:p>
    <w:p>
      <w:pPr>
        <w:pStyle w:val="Normal"/>
        <w:ind w:left="840" w:firstLine="220"/>
        <w:rPr>
          <w:rFonts w:ascii="ＭＳ 明朝" w:hAnsi="ＭＳ 明朝" w:asciiTheme="minorEastAsia" w:hAnsiTheme="minorEastAsia"/>
          <w:sz w:val="22"/>
        </w:rPr>
      </w:pPr>
      <w:r>
        <w:rPr>
          <w:rFonts w:ascii="ＭＳ 明朝" w:hAnsi="ＭＳ 明朝" w:asciiTheme="minorEastAsia" w:hAnsiTheme="minorEastAsia"/>
          <w:sz w:val="22"/>
        </w:rPr>
        <w:t>小学校統合により学校規模が大きく変化することから、人数の増加に伴う児童の心情に十分に配慮し、統合前後の不安等を緩和させるため、統合前からの学校間の交流事業を充実させ、統合後の円滑な人間関係の構築に留意した学校運営を行う。</w:t>
      </w:r>
    </w:p>
    <w:p>
      <w:pPr>
        <w:pStyle w:val="Normal"/>
        <w:ind w:firstLine="221"/>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ind w:firstLine="883"/>
        <w:rPr>
          <w:rFonts w:ascii="ＭＳ 明朝" w:hAnsi="ＭＳ 明朝" w:asciiTheme="minorEastAsia" w:hAnsiTheme="minorEastAsia"/>
          <w:b/>
          <w:b/>
          <w:sz w:val="22"/>
        </w:rPr>
      </w:pPr>
      <w:r>
        <w:rPr>
          <w:rFonts w:ascii="ＭＳ 明朝" w:hAnsi="ＭＳ 明朝" w:asciiTheme="minorEastAsia" w:hAnsiTheme="minorEastAsia"/>
          <w:b/>
          <w:sz w:val="22"/>
        </w:rPr>
        <w:t>ｄ　地域への影響と郷土愛の醸成について</w:t>
      </w:r>
    </w:p>
    <w:p>
      <w:pPr>
        <w:pStyle w:val="Normal"/>
        <w:ind w:left="840" w:firstLine="220"/>
        <w:rPr>
          <w:rFonts w:ascii="ＭＳ 明朝" w:hAnsi="ＭＳ 明朝" w:asciiTheme="minorEastAsia" w:hAnsiTheme="minorEastAsia"/>
          <w:sz w:val="22"/>
        </w:rPr>
      </w:pPr>
      <w:r>
        <w:rPr>
          <w:rFonts w:ascii="ＭＳ 明朝" w:hAnsi="ＭＳ 明朝" w:asciiTheme="minorEastAsia" w:hAnsiTheme="minorEastAsia"/>
          <w:sz w:val="22"/>
        </w:rPr>
        <w:t>各地区の小学校は、災害時の避難場所や地域活動の場であるなど地域社会や歴史にも深く関っている。地域に対しては、統廃合の必要性を十分説明し、学校の廃校により地域の社会活動に不具合が生じないよう配慮するとともに、廃校後の施設の有効活用についても検討を重ねていく必要がある。</w:t>
      </w:r>
    </w:p>
    <w:p>
      <w:pPr>
        <w:pStyle w:val="Normal"/>
        <w:ind w:left="840" w:firstLine="220"/>
        <w:rPr>
          <w:rFonts w:ascii="ＭＳ 明朝" w:hAnsi="ＭＳ 明朝" w:asciiTheme="minorEastAsia" w:hAnsiTheme="minorEastAsia"/>
          <w:b/>
          <w:b/>
          <w:sz w:val="22"/>
        </w:rPr>
      </w:pPr>
      <w:r>
        <w:rPr>
          <w:rFonts w:ascii="ＭＳ 明朝" w:hAnsi="ＭＳ 明朝" w:asciiTheme="minorEastAsia" w:hAnsiTheme="minorEastAsia"/>
          <w:sz w:val="22"/>
        </w:rPr>
        <w:t>また、小学校の統合により、児童と地域との関わりが希薄とならないよう、郷土愛の醸成に繋がる活動を行うことも大切で、小学校の社会科で学んでいる内容を発展させ、地域の伝統芸能の継承活動や発表の機会を設けることにより地域資源の共有化を図り、学校と地域が連携・協働して「郷育」を実践していくものとする。</w:t>
      </w:r>
    </w:p>
    <w:p>
      <w:pPr>
        <w:pStyle w:val="Normal"/>
        <w:ind w:firstLine="221"/>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663"/>
        <w:rPr>
          <w:rFonts w:ascii="ＭＳ 明朝" w:hAnsi="ＭＳ 明朝" w:asciiTheme="minorEastAsia" w:hAnsiTheme="minorEastAsia"/>
          <w:b/>
          <w:b/>
          <w:sz w:val="22"/>
        </w:rPr>
      </w:pPr>
      <w:r>
        <w:rPr>
          <w:rFonts w:ascii="ＭＳ 明朝" w:hAnsi="ＭＳ 明朝" w:asciiTheme="minorEastAsia" w:hAnsiTheme="minorEastAsia"/>
          <w:b/>
          <w:sz w:val="22"/>
        </w:rPr>
        <w:t>(</w:t>
      </w:r>
      <w:r>
        <w:rPr>
          <w:rFonts w:ascii="ＭＳ 明朝" w:hAnsi="ＭＳ 明朝" w:asciiTheme="minorEastAsia" w:hAnsiTheme="minorEastAsia"/>
          <w:b/>
          <w:sz w:val="22"/>
        </w:rPr>
        <w:t>エ</w:t>
      </w:r>
      <w:r>
        <w:rPr>
          <w:rFonts w:ascii="ＭＳ 明朝" w:hAnsi="ＭＳ 明朝" w:asciiTheme="minorEastAsia" w:hAnsiTheme="minorEastAsia"/>
          <w:b/>
          <w:sz w:val="22"/>
        </w:rPr>
        <w:t>)</w:t>
      </w:r>
      <w:r>
        <w:rPr>
          <w:rFonts w:ascii="ＭＳ 明朝" w:hAnsi="ＭＳ 明朝" w:asciiTheme="minorEastAsia" w:hAnsiTheme="minorEastAsia"/>
          <w:b/>
          <w:sz w:val="22"/>
        </w:rPr>
        <w:t>　統廃合までの流れについて</w:t>
      </w:r>
    </w:p>
    <w:p>
      <w:pPr>
        <w:pStyle w:val="Normal"/>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ind w:firstLine="883"/>
        <w:rPr>
          <w:rFonts w:ascii="ＭＳ 明朝" w:hAnsi="ＭＳ 明朝" w:asciiTheme="minorEastAsia" w:hAnsiTheme="minorEastAsia"/>
          <w:b/>
          <w:b/>
          <w:sz w:val="22"/>
        </w:rPr>
      </w:pPr>
      <w:r>
        <w:rPr>
          <w:rFonts w:ascii="ＭＳ 明朝" w:hAnsi="ＭＳ 明朝" w:asciiTheme="minorEastAsia" w:hAnsiTheme="minorEastAsia"/>
          <w:b/>
          <w:sz w:val="22"/>
        </w:rPr>
        <w:t>ａ　基本方針（改訂版）の公表</w:t>
      </w:r>
    </w:p>
    <w:p>
      <w:pPr>
        <w:pStyle w:val="Normal"/>
        <w:ind w:left="880" w:hanging="880"/>
        <w:rPr>
          <w:rFonts w:ascii="ＭＳ 明朝" w:hAnsi="ＭＳ 明朝" w:asciiTheme="minorEastAsia" w:hAnsiTheme="minorEastAsia"/>
          <w:sz w:val="22"/>
        </w:rPr>
      </w:pPr>
      <w:r>
        <w:rPr>
          <w:rFonts w:ascii="ＭＳ 明朝" w:hAnsi="ＭＳ 明朝" w:asciiTheme="minorEastAsia" w:hAnsiTheme="minorEastAsia"/>
          <w:sz w:val="22"/>
        </w:rPr>
        <w:t>　　　　　教育委員会は、教育環境の基本方針見直し検討委員会の提言をもとに策定した「小野町教育環境整備の基本方針（改訂版）」を公表する。</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883"/>
        <w:rPr>
          <w:rFonts w:ascii="ＭＳ 明朝" w:hAnsi="ＭＳ 明朝" w:asciiTheme="minorEastAsia" w:hAnsiTheme="minorEastAsia"/>
          <w:b/>
          <w:b/>
          <w:sz w:val="22"/>
        </w:rPr>
      </w:pPr>
      <w:r>
        <w:rPr>
          <w:rFonts w:ascii="ＭＳ 明朝" w:hAnsi="ＭＳ 明朝" w:asciiTheme="minorEastAsia" w:hAnsiTheme="minorEastAsia"/>
          <w:b/>
          <w:sz w:val="22"/>
        </w:rPr>
        <w:t>ｂ　地域との協議</w:t>
      </w:r>
    </w:p>
    <w:p>
      <w:pPr>
        <w:pStyle w:val="Normal"/>
        <w:ind w:left="880" w:hanging="880"/>
        <w:rPr>
          <w:rFonts w:ascii="ＭＳ 明朝" w:hAnsi="ＭＳ 明朝" w:asciiTheme="minorEastAsia" w:hAnsiTheme="minorEastAsia"/>
          <w:sz w:val="22"/>
        </w:rPr>
      </w:pPr>
      <w:r>
        <w:rPr>
          <w:rFonts w:ascii="ＭＳ 明朝" w:hAnsi="ＭＳ 明朝" w:asciiTheme="minorEastAsia" w:hAnsiTheme="minorEastAsia"/>
          <w:sz w:val="22"/>
        </w:rPr>
        <w:t>　　　　　「小野町教育環境整備の基本方針（改訂版）」に基づき、各小学校単位に統廃合について検討する地元協議会等（ＰＴＡ、行政区、団体）を設置するなど、統廃合について地元の児童保護者や住民の意見を集約する。</w:t>
      </w:r>
    </w:p>
    <w:p>
      <w:pPr>
        <w:pStyle w:val="Normal"/>
        <w:ind w:left="880" w:hanging="880"/>
        <w:rPr>
          <w:rFonts w:ascii="ＭＳ 明朝" w:hAnsi="ＭＳ 明朝" w:asciiTheme="minorEastAsia" w:hAnsiTheme="minorEastAsia"/>
          <w:sz w:val="22"/>
        </w:rPr>
      </w:pPr>
      <w:r>
        <w:rPr>
          <w:rFonts w:ascii="ＭＳ 明朝" w:hAnsi="ＭＳ 明朝" w:asciiTheme="minorEastAsia" w:hAnsiTheme="minorEastAsia"/>
          <w:sz w:val="22"/>
        </w:rPr>
        <w:t>　　　　　さらに、地域における統廃合に向けた最終的な意見等の整理は、町全体の地元協議会合同会を開催し、全町的観点から精査し、合意形成を図るものとする。</w:t>
      </w:r>
    </w:p>
    <w:p>
      <w:pPr>
        <w:pStyle w:val="Normal"/>
        <w:ind w:left="210" w:hanging="0"/>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ind w:left="210" w:hanging="0"/>
        <w:jc w:val="center"/>
        <w:rPr>
          <w:rFonts w:ascii="ＭＳ 明朝" w:hAnsi="ＭＳ 明朝" w:asciiTheme="minorEastAsia" w:hAnsiTheme="minorEastAsia"/>
          <w:b/>
          <w:b/>
          <w:sz w:val="22"/>
        </w:rPr>
      </w:pPr>
      <w:r>
        <w:rPr>
          <w:rFonts w:ascii="ＭＳ 明朝" w:hAnsi="ＭＳ 明朝" w:asciiTheme="minorEastAsia" w:hAnsiTheme="minorEastAsia"/>
          <w:b/>
          <w:sz w:val="22"/>
        </w:rPr>
        <w:t>6</w:t>
      </w:r>
    </w:p>
    <w:p>
      <w:pPr>
        <w:pStyle w:val="Normal"/>
        <w:ind w:left="210" w:hanging="0"/>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ind w:left="210" w:hanging="0"/>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ind w:left="210" w:firstLine="663"/>
        <w:rPr>
          <w:rFonts w:ascii="ＭＳ 明朝" w:hAnsi="ＭＳ 明朝" w:asciiTheme="minorEastAsia" w:hAnsiTheme="minorEastAsia"/>
          <w:sz w:val="22"/>
        </w:rPr>
      </w:pPr>
      <w:r>
        <w:rPr>
          <w:rFonts w:ascii="ＭＳ 明朝" w:hAnsi="ＭＳ 明朝" w:asciiTheme="minorEastAsia" w:hAnsiTheme="minorEastAsia"/>
          <w:b/>
          <w:sz w:val="22"/>
        </w:rPr>
        <w:t>ｃ　統廃合移行準備</w:t>
      </w:r>
    </w:p>
    <w:p>
      <w:pPr>
        <w:pStyle w:val="Normal"/>
        <w:ind w:left="880" w:hanging="880"/>
        <w:rPr>
          <w:rFonts w:ascii="ＭＳ 明朝" w:hAnsi="ＭＳ 明朝" w:asciiTheme="minorEastAsia" w:hAnsiTheme="minorEastAsia"/>
          <w:sz w:val="22"/>
        </w:rPr>
      </w:pPr>
      <w:r>
        <w:rPr>
          <w:rFonts w:ascii="ＭＳ 明朝" w:hAnsi="ＭＳ 明朝" w:asciiTheme="minorEastAsia" w:hAnsiTheme="minorEastAsia"/>
          <w:sz w:val="22"/>
        </w:rPr>
        <w:t>　　　　　「小野町教育環境整備の基本方針（改訂版）」の策定に伴い、総合教育会議や地元協議会合同会の開催結果を踏まえた統廃合の合意形成後、ＰＴＡ、学校代表等による統合準備会を設置する。</w:t>
      </w:r>
    </w:p>
    <w:p>
      <w:pPr>
        <w:pStyle w:val="Normal"/>
        <w:ind w:left="840" w:firstLine="220"/>
        <w:rPr>
          <w:rFonts w:ascii="ＭＳ 明朝" w:hAnsi="ＭＳ 明朝" w:asciiTheme="minorEastAsia" w:hAnsiTheme="minorEastAsia"/>
          <w:sz w:val="22"/>
        </w:rPr>
      </w:pPr>
      <w:r>
        <w:rPr>
          <w:rFonts w:ascii="ＭＳ 明朝" w:hAnsi="ＭＳ 明朝" w:asciiTheme="minorEastAsia" w:hAnsiTheme="minorEastAsia"/>
          <w:sz w:val="22"/>
        </w:rPr>
        <w:t>統合準備会は、児童、保護者、学校教職員の意見の把握に努め、統廃合の実施方法を検討するとともに、移行期間には児童やＰＴＡ同士の交流事業等を実施するなど円滑な移行準備を進める。</w:t>
      </w:r>
    </w:p>
    <w:p>
      <w:pPr>
        <w:pStyle w:val="Normal"/>
        <w:rPr>
          <w:rFonts w:ascii="ＭＳ 明朝" w:hAnsi="ＭＳ 明朝" w:asciiTheme="minorEastAsia" w:hAnsiTheme="minorEastAsia"/>
          <w:b/>
          <w:b/>
          <w:bCs/>
          <w:sz w:val="22"/>
        </w:rPr>
      </w:pPr>
      <w:r>
        <w:rPr>
          <w:rFonts w:asciiTheme="minorEastAsia" w:hAnsiTheme="minorEastAsia" w:ascii="ＭＳ 明朝" w:hAnsi="ＭＳ 明朝"/>
          <w:b/>
          <w:bCs/>
          <w:sz w:val="22"/>
        </w:rPr>
      </w:r>
    </w:p>
    <w:p>
      <w:pPr>
        <w:pStyle w:val="Normal"/>
        <w:rPr>
          <w:rFonts w:ascii="ＭＳ 明朝" w:hAnsi="ＭＳ 明朝" w:asciiTheme="minorEastAsia" w:hAnsiTheme="minorEastAsia"/>
          <w:b/>
          <w:b/>
          <w:bCs/>
          <w:sz w:val="22"/>
        </w:rPr>
      </w:pPr>
      <w:r>
        <w:rPr>
          <w:rFonts w:asciiTheme="minorEastAsia" w:hAnsiTheme="minorEastAsia" w:ascii="ＭＳ 明朝" w:hAnsi="ＭＳ 明朝"/>
          <w:b/>
          <w:bCs/>
          <w:sz w:val="22"/>
        </w:rPr>
      </w:r>
    </w:p>
    <w:p>
      <w:pPr>
        <w:pStyle w:val="Normal"/>
        <w:ind w:firstLine="663"/>
        <w:rPr>
          <w:rFonts w:ascii="ＭＳ 明朝" w:hAnsi="ＭＳ 明朝" w:asciiTheme="minorEastAsia" w:hAnsiTheme="minorEastAsia"/>
          <w:b/>
          <w:b/>
          <w:bCs/>
          <w:sz w:val="22"/>
        </w:rPr>
      </w:pPr>
      <w:r>
        <w:rPr>
          <w:rFonts w:ascii="ＭＳ 明朝" w:hAnsi="ＭＳ 明朝" w:asciiTheme="minorEastAsia" w:hAnsiTheme="minorEastAsia"/>
          <w:b/>
          <w:bCs/>
          <w:sz w:val="22"/>
        </w:rPr>
        <w:t>イ　中学校の教育環境について</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663"/>
        <w:rPr>
          <w:rFonts w:ascii="ＭＳ 明朝" w:hAnsi="ＭＳ 明朝" w:asciiTheme="minorEastAsia" w:hAnsiTheme="minorEastAsia"/>
          <w:b/>
          <w:b/>
          <w:sz w:val="22"/>
        </w:rPr>
      </w:pPr>
      <w:r>
        <w:rPr>
          <w:rFonts w:ascii="ＭＳ 明朝" w:hAnsi="ＭＳ 明朝" w:asciiTheme="minorEastAsia" w:hAnsiTheme="minorEastAsia"/>
          <w:b/>
          <w:sz w:val="22"/>
        </w:rPr>
        <w:t>(</w:t>
      </w:r>
      <w:r>
        <w:rPr>
          <w:rFonts w:ascii="ＭＳ 明朝" w:hAnsi="ＭＳ 明朝" w:asciiTheme="minorEastAsia" w:hAnsiTheme="minorEastAsia"/>
          <w:b/>
          <w:sz w:val="22"/>
        </w:rPr>
        <w:t>ア</w:t>
      </w:r>
      <w:r>
        <w:rPr>
          <w:rFonts w:ascii="ＭＳ 明朝" w:hAnsi="ＭＳ 明朝" w:asciiTheme="minorEastAsia" w:hAnsiTheme="minorEastAsia"/>
          <w:b/>
          <w:sz w:val="22"/>
        </w:rPr>
        <w:t>)</w:t>
      </w:r>
      <w:r>
        <w:rPr>
          <w:rFonts w:ascii="ＭＳ 明朝" w:hAnsi="ＭＳ 明朝" w:asciiTheme="minorEastAsia" w:hAnsiTheme="minorEastAsia"/>
          <w:b/>
          <w:sz w:val="22"/>
        </w:rPr>
        <w:t>　学校運営について</w:t>
      </w:r>
    </w:p>
    <w:p>
      <w:pPr>
        <w:pStyle w:val="Normal"/>
        <w:ind w:left="947" w:firstLine="210"/>
        <w:rPr/>
      </w:pPr>
      <w:r>
        <w:rPr/>
        <w:t>小学校同様に、基礎的・基本的な知識・技能と思考力・判断力・表現力に加え、課題の発見・解決に向け主体的・協働的な学びが今後重要となってくる。確かな学力の定着を図るため、外部講師等の活用による課外授業の充実や、学力調査等の結果を効果的に活用し、個に応じたきめ細かな指導を行い、生徒自身の学習意欲の向上を図る。</w:t>
      </w:r>
    </w:p>
    <w:p>
      <w:pPr>
        <w:pStyle w:val="Normal"/>
        <w:ind w:left="947" w:firstLine="220"/>
        <w:rPr>
          <w:rFonts w:ascii="ＭＳ 明朝" w:hAnsi="ＭＳ 明朝" w:asciiTheme="minorEastAsia" w:hAnsiTheme="minorEastAsia"/>
          <w:sz w:val="22"/>
        </w:rPr>
      </w:pPr>
      <w:r>
        <w:rPr>
          <w:rFonts w:ascii="ＭＳ 明朝" w:hAnsi="ＭＳ 明朝" w:asciiTheme="minorEastAsia" w:hAnsiTheme="minorEastAsia"/>
          <w:sz w:val="22"/>
        </w:rPr>
        <w:t>また、小中学校間で十分に連携等を図り、不登校の解消や児童の中学校進学時の不安解消など中１ギャップの緩和に努める。</w:t>
      </w:r>
    </w:p>
    <w:p>
      <w:pPr>
        <w:pStyle w:val="Normal"/>
        <w:ind w:left="947" w:firstLine="220"/>
        <w:rPr>
          <w:rFonts w:ascii="ＭＳ 明朝" w:hAnsi="ＭＳ 明朝" w:asciiTheme="minorEastAsia" w:hAnsiTheme="minorEastAsia"/>
          <w:sz w:val="22"/>
        </w:rPr>
      </w:pPr>
      <w:r>
        <w:rPr>
          <w:rFonts w:ascii="ＭＳ 明朝" w:hAnsi="ＭＳ 明朝" w:asciiTheme="minorEastAsia" w:hAnsiTheme="minorEastAsia"/>
          <w:sz w:val="22"/>
        </w:rPr>
        <w:t>特別支援教育についても、小学校から継続して十分な配慮が行えるよう環境整備の充実に努める。</w:t>
      </w:r>
    </w:p>
    <w:p>
      <w:pPr>
        <w:pStyle w:val="Normal"/>
        <w:ind w:firstLine="221"/>
        <w:rPr>
          <w:rFonts w:ascii="ＭＳ 明朝" w:hAnsi="ＭＳ 明朝" w:asciiTheme="minorEastAsia" w:hAnsiTheme="minorEastAsia"/>
          <w:b/>
          <w:b/>
          <w:sz w:val="22"/>
        </w:rPr>
      </w:pPr>
      <w:r>
        <w:rPr>
          <w:rFonts w:asciiTheme="minorEastAsia" w:hAnsiTheme="minorEastAsia" w:ascii="ＭＳ 明朝" w:hAnsi="ＭＳ 明朝"/>
          <w:b/>
          <w:sz w:val="22"/>
        </w:rPr>
      </w:r>
    </w:p>
    <w:p>
      <w:pPr>
        <w:pStyle w:val="Normal"/>
        <w:ind w:firstLine="663"/>
        <w:rPr>
          <w:rFonts w:ascii="ＭＳ 明朝" w:hAnsi="ＭＳ 明朝" w:asciiTheme="minorEastAsia" w:hAnsiTheme="minorEastAsia"/>
          <w:b/>
          <w:b/>
          <w:sz w:val="22"/>
        </w:rPr>
      </w:pPr>
      <w:r>
        <w:rPr>
          <w:rFonts w:ascii="ＭＳ 明朝" w:hAnsi="ＭＳ 明朝" w:asciiTheme="minorEastAsia" w:hAnsiTheme="minorEastAsia"/>
          <w:b/>
          <w:sz w:val="22"/>
        </w:rPr>
        <w:t>(</w:t>
      </w:r>
      <w:r>
        <w:rPr>
          <w:rFonts w:ascii="ＭＳ 明朝" w:hAnsi="ＭＳ 明朝" w:asciiTheme="minorEastAsia" w:hAnsiTheme="minorEastAsia"/>
          <w:b/>
          <w:sz w:val="22"/>
        </w:rPr>
        <w:t>イ</w:t>
      </w:r>
      <w:r>
        <w:rPr>
          <w:rFonts w:ascii="ＭＳ 明朝" w:hAnsi="ＭＳ 明朝" w:asciiTheme="minorEastAsia" w:hAnsiTheme="minorEastAsia"/>
          <w:b/>
          <w:sz w:val="22"/>
        </w:rPr>
        <w:t>)</w:t>
      </w:r>
      <w:r>
        <w:rPr>
          <w:rFonts w:ascii="ＭＳ 明朝" w:hAnsi="ＭＳ 明朝" w:asciiTheme="minorEastAsia" w:hAnsiTheme="minorEastAsia"/>
          <w:b/>
          <w:sz w:val="22"/>
        </w:rPr>
        <w:t>　通学支援について</w:t>
      </w:r>
    </w:p>
    <w:p>
      <w:pPr>
        <w:pStyle w:val="Normal"/>
        <w:ind w:left="880" w:hanging="880"/>
        <w:rPr>
          <w:rFonts w:ascii="ＭＳ 明朝" w:hAnsi="ＭＳ 明朝" w:asciiTheme="minorEastAsia" w:hAnsiTheme="minorEastAsia"/>
          <w:sz w:val="22"/>
        </w:rPr>
      </w:pPr>
      <w:r>
        <w:rPr>
          <w:rFonts w:ascii="ＭＳ 明朝" w:hAnsi="ＭＳ 明朝" w:asciiTheme="minorEastAsia" w:hAnsiTheme="minorEastAsia"/>
          <w:sz w:val="22"/>
        </w:rPr>
        <w:t>　　　　　中学校は平成２６年４月に統合し１中学校となっており、統廃合により廃校となった地区の生徒についてはスクールバスの通学支援が行われているが、それ以外の遠距離通学者に対する支援は行われていない。</w:t>
      </w:r>
    </w:p>
    <w:p>
      <w:pPr>
        <w:pStyle w:val="Normal"/>
        <w:ind w:left="840" w:firstLine="220"/>
        <w:rPr>
          <w:rFonts w:ascii="ＭＳ 明朝" w:hAnsi="ＭＳ 明朝" w:asciiTheme="minorEastAsia" w:hAnsiTheme="minorEastAsia"/>
          <w:sz w:val="22"/>
        </w:rPr>
      </w:pPr>
      <w:r>
        <w:rPr>
          <w:rFonts w:ascii="ＭＳ 明朝" w:hAnsi="ＭＳ 明朝" w:asciiTheme="minorEastAsia" w:hAnsiTheme="minorEastAsia"/>
          <w:sz w:val="22"/>
        </w:rPr>
        <w:t>今後スクールバスの運行について全体的な見直しを図り、小学校同様遠距離通学者に対するスクールバスの通学支援について検討を行う。</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b/>
          <w:b/>
          <w:sz w:val="28"/>
          <w:szCs w:val="28"/>
        </w:rPr>
      </w:pPr>
      <w:r>
        <w:rPr>
          <w:rFonts w:ascii="ＭＳ 明朝" w:hAnsi="ＭＳ 明朝" w:asciiTheme="minorEastAsia" w:hAnsiTheme="minorEastAsia"/>
          <w:b/>
          <w:sz w:val="28"/>
          <w:szCs w:val="28"/>
        </w:rPr>
        <w:t>４　おわりに</w:t>
      </w:r>
    </w:p>
    <w:p>
      <w:pPr>
        <w:pStyle w:val="Normal"/>
        <w:ind w:firstLine="220"/>
        <w:rPr>
          <w:rFonts w:ascii="ＭＳ 明朝" w:hAnsi="ＭＳ 明朝" w:asciiTheme="minorEastAsia" w:hAnsiTheme="minorEastAsia"/>
          <w:sz w:val="22"/>
        </w:rPr>
      </w:pPr>
      <w:r>
        <w:rPr>
          <w:rFonts w:ascii="ＭＳ 明朝" w:hAnsi="ＭＳ 明朝" w:asciiTheme="minorEastAsia" w:hAnsiTheme="minorEastAsia"/>
          <w:sz w:val="22"/>
        </w:rPr>
        <w:t>将来を担う子ども達に最良の教育環境を提供することを最重要課題とし、今回の基本方針改訂を行いました。今後も、時代に即した確かな学力と心豊かでたくましく生きる力を持った子ども達の育成や、新たな学校運営のあり方も探りながら、学校・保護者・地域と連携し、計画的に教育環境の整備に取り組んでまいります。</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pPr>
      <w:r>
        <w:rPr>
          <w:rFonts w:ascii="ＭＳ 明朝" w:hAnsi="ＭＳ 明朝" w:asciiTheme="minorEastAsia" w:hAnsiTheme="minorEastAsia"/>
          <w:sz w:val="22"/>
        </w:rPr>
        <w:t>7</w:t>
      </w:r>
    </w:p>
    <w:sectPr>
      <w:headerReference w:type="default" r:id="rId5"/>
      <w:footerReference w:type="default" r:id="rId6"/>
      <w:type w:val="nextPage"/>
      <w:pgSz w:w="11906" w:h="16838"/>
      <w:pgMar w:left="1701" w:right="1701" w:header="397" w:top="1134" w:footer="284" w:bottom="851" w:gutter="0"/>
      <w:pgNumType w:start="1" w:fmt="decimal"/>
      <w:formProt w:val="false"/>
      <w:textDirection w:val="lrTb"/>
      <w:docGrid w:type="lines" w:linePitch="32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HG丸ｺﾞｼｯｸM-PRO">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
  </w:p>
  <w:p>
    <w:pPr>
      <w:pStyle w:val="Style23"/>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sz w:val="18"/>
        <w:szCs w:val="18"/>
      </w:rPr>
    </w:pPr>
    <w:r>
      <w:rPr>
        <w:sz w:val="18"/>
        <w:szCs w:val="18"/>
      </w:rPr>
    </w:r>
  </w:p>
</w:hdr>
</file>

<file path=word/settings.xml><?xml version="1.0" encoding="utf-8"?>
<w:settings xmlns:w="http://schemas.openxmlformats.org/wordprocessingml/2006/main">
  <w:zoom w:percent="100"/>
  <w:defaultTabStop w:val="840"/>
  <w:compat>
    <w:compatSetting w:name="compatibilityMode" w:uri="http://schemas.microsoft.com/office/word" w:val="12"/>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d22ee"/>
    <w:pPr>
      <w:widowControl w:val="false"/>
      <w:bidi w:val="0"/>
      <w:jc w:val="both"/>
    </w:pPr>
    <w:rPr>
      <w:rFonts w:ascii="Century" w:hAnsi="Century" w:eastAsia="ＭＳ 明朝" w:cs="Arial"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fd22ee"/>
    <w:rPr/>
  </w:style>
  <w:style w:type="character" w:styleId="Style15" w:customStyle="1">
    <w:name w:val="フッター (文字)"/>
    <w:basedOn w:val="DefaultParagraphFont"/>
    <w:link w:val="a5"/>
    <w:uiPriority w:val="99"/>
    <w:qFormat/>
    <w:rsid w:val="00fd22ee"/>
    <w:rPr/>
  </w:style>
  <w:style w:type="character" w:styleId="Style16" w:customStyle="1">
    <w:name w:val="吹き出し (文字)"/>
    <w:basedOn w:val="DefaultParagraphFont"/>
    <w:link w:val="a8"/>
    <w:uiPriority w:val="99"/>
    <w:semiHidden/>
    <w:qFormat/>
    <w:rsid w:val="00890ed3"/>
    <w:rPr>
      <w:rFonts w:ascii="Arial" w:hAnsi="Arial" w:eastAsia="ＭＳ ゴシック" w:cs="Times New Roman" w:asciiTheme="majorHAnsi" w:cstheme="majorBidi" w:eastAsiaTheme="majorEastAsia" w:hAnsiTheme="majorHAnsi"/>
      <w:sz w:val="18"/>
      <w:szCs w:val="18"/>
    </w:rPr>
  </w:style>
  <w:style w:type="paragraph" w:styleId="Style17">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Header"/>
    <w:basedOn w:val="Normal"/>
    <w:link w:val="a4"/>
    <w:uiPriority w:val="99"/>
    <w:unhideWhenUsed/>
    <w:rsid w:val="00fd22ee"/>
    <w:pPr>
      <w:tabs>
        <w:tab w:val="center" w:pos="4252" w:leader="none"/>
        <w:tab w:val="right" w:pos="8504" w:leader="none"/>
      </w:tabs>
      <w:snapToGrid w:val="false"/>
    </w:pPr>
    <w:rPr/>
  </w:style>
  <w:style w:type="paragraph" w:styleId="Style23">
    <w:name w:val="Footer"/>
    <w:basedOn w:val="Normal"/>
    <w:link w:val="a6"/>
    <w:uiPriority w:val="99"/>
    <w:unhideWhenUsed/>
    <w:rsid w:val="00fd22ee"/>
    <w:pPr>
      <w:tabs>
        <w:tab w:val="center" w:pos="4252" w:leader="none"/>
        <w:tab w:val="right" w:pos="8504" w:leader="none"/>
      </w:tabs>
      <w:snapToGrid w:val="false"/>
    </w:pPr>
    <w:rPr/>
  </w:style>
  <w:style w:type="paragraph" w:styleId="ListParagraph">
    <w:name w:val="List Paragraph"/>
    <w:basedOn w:val="Normal"/>
    <w:uiPriority w:val="34"/>
    <w:qFormat/>
    <w:rsid w:val="00881ba8"/>
    <w:pPr>
      <w:ind w:left="840" w:hanging="0"/>
    </w:pPr>
    <w:rPr/>
  </w:style>
  <w:style w:type="paragraph" w:styleId="BalloonText">
    <w:name w:val="Balloon Text"/>
    <w:basedOn w:val="Normal"/>
    <w:link w:val="a9"/>
    <w:uiPriority w:val="99"/>
    <w:semiHidden/>
    <w:unhideWhenUsed/>
    <w:qFormat/>
    <w:rsid w:val="00890ed3"/>
    <w:pPr/>
    <w:rPr>
      <w:rFonts w:ascii="Arial" w:hAnsi="Arial" w:eastAsia="ＭＳ ゴシック" w:cs="Times New Roman"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2000" spc="-1" strike="noStrike">
                <a:solidFill>
                  <a:srgbClr val="000000"/>
                </a:solidFill>
                <a:uFill>
                  <a:solidFill>
                    <a:srgbClr val="ffffff"/>
                  </a:solidFill>
                </a:uFill>
                <a:latin typeface="Century"/>
              </a:defRPr>
            </a:pPr>
            <a:r>
              <a:rPr b="1" sz="2000" spc="-1" strike="noStrike">
                <a:solidFill>
                  <a:srgbClr val="000000"/>
                </a:solidFill>
                <a:uFill>
                  <a:solidFill>
                    <a:srgbClr val="ffffff"/>
                  </a:solidFill>
                </a:uFill>
                <a:latin typeface="Century"/>
              </a:rPr>
              <a:t>小学校入学児童数の変遷</a:t>
            </a:r>
          </a:p>
        </c:rich>
      </c:tx>
      <c:overlay val="0"/>
    </c:title>
    <c:autoTitleDeleted val="0"/>
    <c:plotArea>
      <c:lineChart>
        <c:grouping val="standard"/>
        <c:varyColors val="0"/>
        <c:ser>
          <c:idx val="0"/>
          <c:order val="0"/>
          <c:tx>
            <c:strRef>
              <c:f>label 0</c:f>
              <c:strCache>
                <c:ptCount val="1"/>
                <c:pt idx="0">
                  <c:v>飯豊小</c:v>
                </c:pt>
              </c:strCache>
            </c:strRef>
          </c:tx>
          <c:spPr>
            <a:solidFill>
              <a:srgbClr val="4f81bd"/>
            </a:solidFill>
            <a:ln w="28440">
              <a:solidFill>
                <a:srgbClr val="4f81bd"/>
              </a:solidFill>
              <a:round/>
            </a:ln>
          </c:spPr>
          <c:marker>
            <c:symbol val="circle"/>
            <c:size val="5"/>
            <c:spPr>
              <a:solidFill>
                <a:srgbClr val="4f81bd"/>
              </a:solidFill>
            </c:spPr>
          </c:marker>
          <c:dLbls>
            <c:dLblPos val="r"/>
            <c:showLegendKey val="0"/>
            <c:showVal val="0"/>
            <c:showCatName val="0"/>
            <c:showSerName val="0"/>
            <c:showPercent val="0"/>
            <c:showLeaderLines val="0"/>
          </c:dLbls>
          <c:cat>
            <c:strRef>
              <c:f>categories</c:f>
              <c:strCache>
                <c:ptCount val="4"/>
                <c:pt idx="0">
                  <c:v>平成5年度</c:v>
                </c:pt>
                <c:pt idx="1">
                  <c:v>平成18年度</c:v>
                </c:pt>
                <c:pt idx="2">
                  <c:v>平成28年度</c:v>
                </c:pt>
                <c:pt idx="3">
                  <c:v>平成34年度</c:v>
                </c:pt>
              </c:strCache>
            </c:strRef>
          </c:cat>
          <c:val>
            <c:numRef>
              <c:f>0</c:f>
              <c:numCache>
                <c:formatCode>General</c:formatCode>
                <c:ptCount val="4"/>
                <c:pt idx="0">
                  <c:v>26</c:v>
                </c:pt>
                <c:pt idx="1">
                  <c:v>16</c:v>
                </c:pt>
                <c:pt idx="2">
                  <c:v>11</c:v>
                </c:pt>
                <c:pt idx="3">
                  <c:v>9</c:v>
                </c:pt>
              </c:numCache>
            </c:numRef>
          </c:val>
          <c:smooth val="0"/>
        </c:ser>
        <c:ser>
          <c:idx val="1"/>
          <c:order val="1"/>
          <c:tx>
            <c:strRef>
              <c:f>label 1</c:f>
              <c:strCache>
                <c:ptCount val="1"/>
                <c:pt idx="0">
                  <c:v>浮金小</c:v>
                </c:pt>
              </c:strCache>
            </c:strRef>
          </c:tx>
          <c:spPr>
            <a:solidFill>
              <a:srgbClr val="c0504d"/>
            </a:solidFill>
            <a:ln w="28440">
              <a:solidFill>
                <a:srgbClr val="c0504d"/>
              </a:solidFill>
              <a:round/>
            </a:ln>
          </c:spPr>
          <c:marker>
            <c:symbol val="circle"/>
            <c:size val="5"/>
            <c:spPr>
              <a:solidFill>
                <a:srgbClr val="c0504d"/>
              </a:solidFill>
            </c:spPr>
          </c:marker>
          <c:dLbls>
            <c:dLblPos val="r"/>
            <c:showLegendKey val="0"/>
            <c:showVal val="0"/>
            <c:showCatName val="0"/>
            <c:showSerName val="0"/>
            <c:showPercent val="0"/>
            <c:showLeaderLines val="0"/>
          </c:dLbls>
          <c:cat>
            <c:strRef>
              <c:f>categories</c:f>
              <c:strCache>
                <c:ptCount val="4"/>
                <c:pt idx="0">
                  <c:v>平成5年度</c:v>
                </c:pt>
                <c:pt idx="1">
                  <c:v>平成18年度</c:v>
                </c:pt>
                <c:pt idx="2">
                  <c:v>平成28年度</c:v>
                </c:pt>
                <c:pt idx="3">
                  <c:v>平成34年度</c:v>
                </c:pt>
              </c:strCache>
            </c:strRef>
          </c:cat>
          <c:val>
            <c:numRef>
              <c:f>1</c:f>
              <c:numCache>
                <c:formatCode>General</c:formatCode>
                <c:ptCount val="4"/>
                <c:pt idx="0">
                  <c:v>11</c:v>
                </c:pt>
                <c:pt idx="1">
                  <c:v>6</c:v>
                </c:pt>
                <c:pt idx="2">
                  <c:v>5</c:v>
                </c:pt>
                <c:pt idx="3">
                  <c:v>4</c:v>
                </c:pt>
              </c:numCache>
            </c:numRef>
          </c:val>
          <c:smooth val="0"/>
        </c:ser>
        <c:ser>
          <c:idx val="2"/>
          <c:order val="2"/>
          <c:tx>
            <c:strRef>
              <c:f>label 2</c:f>
              <c:strCache>
                <c:ptCount val="1"/>
                <c:pt idx="0">
                  <c:v>小野新町小</c:v>
                </c:pt>
              </c:strCache>
            </c:strRef>
          </c:tx>
          <c:spPr>
            <a:solidFill>
              <a:srgbClr val="9bbb59"/>
            </a:solidFill>
            <a:ln w="28440">
              <a:solidFill>
                <a:srgbClr val="9bbb59"/>
              </a:solidFill>
              <a:round/>
            </a:ln>
          </c:spPr>
          <c:marker>
            <c:symbol val="circle"/>
            <c:size val="5"/>
            <c:spPr>
              <a:solidFill>
                <a:srgbClr val="9bbb59"/>
              </a:solidFill>
            </c:spPr>
          </c:marker>
          <c:dLbls>
            <c:dLblPos val="r"/>
            <c:showLegendKey val="0"/>
            <c:showVal val="0"/>
            <c:showCatName val="0"/>
            <c:showSerName val="0"/>
            <c:showPercent val="0"/>
            <c:showLeaderLines val="0"/>
          </c:dLbls>
          <c:cat>
            <c:strRef>
              <c:f>categories</c:f>
              <c:strCache>
                <c:ptCount val="4"/>
                <c:pt idx="0">
                  <c:v>平成5年度</c:v>
                </c:pt>
                <c:pt idx="1">
                  <c:v>平成18年度</c:v>
                </c:pt>
                <c:pt idx="2">
                  <c:v>平成28年度</c:v>
                </c:pt>
                <c:pt idx="3">
                  <c:v>平成34年度</c:v>
                </c:pt>
              </c:strCache>
            </c:strRef>
          </c:cat>
          <c:val>
            <c:numRef>
              <c:f>2</c:f>
              <c:numCache>
                <c:formatCode>General</c:formatCode>
                <c:ptCount val="4"/>
                <c:pt idx="0">
                  <c:v>111</c:v>
                </c:pt>
                <c:pt idx="1">
                  <c:v>63</c:v>
                </c:pt>
                <c:pt idx="2">
                  <c:v>58</c:v>
                </c:pt>
                <c:pt idx="3">
                  <c:v>41</c:v>
                </c:pt>
              </c:numCache>
            </c:numRef>
          </c:val>
          <c:smooth val="0"/>
        </c:ser>
        <c:ser>
          <c:idx val="3"/>
          <c:order val="3"/>
          <c:tx>
            <c:strRef>
              <c:f>label 3</c:f>
              <c:strCache>
                <c:ptCount val="1"/>
                <c:pt idx="0">
                  <c:v>夏井第一小</c:v>
                </c:pt>
              </c:strCache>
            </c:strRef>
          </c:tx>
          <c:spPr>
            <a:solidFill>
              <a:srgbClr val="8064a2"/>
            </a:solidFill>
            <a:ln w="28440">
              <a:solidFill>
                <a:srgbClr val="8064a2"/>
              </a:solidFill>
              <a:round/>
            </a:ln>
          </c:spPr>
          <c:marker>
            <c:symbol val="circle"/>
            <c:size val="5"/>
            <c:spPr>
              <a:solidFill>
                <a:srgbClr val="8064a2"/>
              </a:solidFill>
            </c:spPr>
          </c:marker>
          <c:dLbls>
            <c:dLblPos val="r"/>
            <c:showLegendKey val="0"/>
            <c:showVal val="0"/>
            <c:showCatName val="0"/>
            <c:showSerName val="0"/>
            <c:showPercent val="0"/>
            <c:showLeaderLines val="0"/>
          </c:dLbls>
          <c:cat>
            <c:strRef>
              <c:f>categories</c:f>
              <c:strCache>
                <c:ptCount val="4"/>
                <c:pt idx="0">
                  <c:v>平成5年度</c:v>
                </c:pt>
                <c:pt idx="1">
                  <c:v>平成18年度</c:v>
                </c:pt>
                <c:pt idx="2">
                  <c:v>平成28年度</c:v>
                </c:pt>
                <c:pt idx="3">
                  <c:v>平成34年度</c:v>
                </c:pt>
              </c:strCache>
            </c:strRef>
          </c:cat>
          <c:val>
            <c:numRef>
              <c:f>3</c:f>
              <c:numCache>
                <c:formatCode>General</c:formatCode>
                <c:ptCount val="4"/>
                <c:pt idx="0">
                  <c:v>26</c:v>
                </c:pt>
                <c:pt idx="1">
                  <c:v>7</c:v>
                </c:pt>
                <c:pt idx="2">
                  <c:v>5</c:v>
                </c:pt>
                <c:pt idx="3">
                  <c:v>4</c:v>
                </c:pt>
              </c:numCache>
            </c:numRef>
          </c:val>
          <c:smooth val="0"/>
        </c:ser>
        <c:hiLowLines>
          <c:spPr>
            <a:ln>
              <a:noFill/>
            </a:ln>
          </c:spPr>
        </c:hiLowLines>
        <c:marker val="1"/>
        <c:axId val="39993944"/>
        <c:axId val="44990435"/>
      </c:lineChart>
      <c:catAx>
        <c:axId val="39993944"/>
        <c:scaling>
          <c:orientation val="minMax"/>
        </c:scaling>
        <c:delete val="0"/>
        <c:axPos val="b"/>
        <c:numFmt formatCode="YYYY/MM/DD" sourceLinked="1"/>
        <c:majorTickMark val="none"/>
        <c:minorTickMark val="none"/>
        <c:tickLblPos val="nextTo"/>
        <c:spPr>
          <a:ln w="9360">
            <a:solidFill>
              <a:srgbClr val="d9d9d9"/>
            </a:solidFill>
            <a:round/>
          </a:ln>
        </c:spPr>
        <c:txPr>
          <a:bodyPr/>
          <a:p>
            <a:pPr>
              <a:defRPr b="0" sz="900" spc="-1" strike="noStrike">
                <a:solidFill>
                  <a:srgbClr val="595959"/>
                </a:solidFill>
                <a:uFill>
                  <a:solidFill>
                    <a:srgbClr val="ffffff"/>
                  </a:solidFill>
                </a:uFill>
                <a:latin typeface="Century"/>
              </a:defRPr>
            </a:pPr>
          </a:p>
        </c:txPr>
        <c:crossAx val="44990435"/>
        <c:crosses val="autoZero"/>
        <c:auto val="1"/>
        <c:lblAlgn val="ctr"/>
        <c:lblOffset val="100"/>
      </c:catAx>
      <c:valAx>
        <c:axId val="44990435"/>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p>
            <a:pPr>
              <a:defRPr b="0" sz="900" spc="-1" strike="noStrike">
                <a:solidFill>
                  <a:srgbClr val="595959"/>
                </a:solidFill>
                <a:uFill>
                  <a:solidFill>
                    <a:srgbClr val="ffffff"/>
                  </a:solidFill>
                </a:uFill>
                <a:latin typeface="Century"/>
              </a:defRPr>
            </a:pPr>
          </a:p>
        </c:txPr>
        <c:crossAx val="39993944"/>
        <c:crosses val="autoZero"/>
        <c:crossBetween val="midCat"/>
      </c:valAx>
      <c:spPr>
        <a:noFill/>
        <a:ln w="25560">
          <a:noFill/>
        </a:ln>
      </c:spPr>
    </c:plotArea>
    <c:legend>
      <c:legendPos val="b"/>
      <c:overlay val="0"/>
      <c:spPr>
        <a:noFill/>
        <a:ln w="25560">
          <a:noFill/>
        </a:ln>
      </c:spPr>
    </c:legend>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2000" spc="-1" strike="noStrike">
                <a:solidFill>
                  <a:srgbClr val="000000"/>
                </a:solidFill>
                <a:uFill>
                  <a:solidFill>
                    <a:srgbClr val="ffffff"/>
                  </a:solidFill>
                </a:uFill>
                <a:latin typeface="Century"/>
              </a:defRPr>
            </a:pPr>
            <a:r>
              <a:rPr b="1" sz="2000" spc="-1" strike="noStrike">
                <a:solidFill>
                  <a:srgbClr val="000000"/>
                </a:solidFill>
                <a:uFill>
                  <a:solidFill>
                    <a:srgbClr val="ffffff"/>
                  </a:solidFill>
                </a:uFill>
                <a:latin typeface="Century"/>
              </a:rPr>
              <a:t>児童数の変遷（新小、小学校計）</a:t>
            </a:r>
          </a:p>
        </c:rich>
      </c:tx>
      <c:overlay val="0"/>
    </c:title>
    <c:autoTitleDeleted val="0"/>
    <c:plotArea>
      <c:lineChart>
        <c:grouping val="standard"/>
        <c:varyColors val="0"/>
        <c:ser>
          <c:idx val="0"/>
          <c:order val="0"/>
          <c:tx>
            <c:strRef>
              <c:f>label 0</c:f>
              <c:strCache>
                <c:ptCount val="1"/>
                <c:pt idx="0">
                  <c:v>小野新町小</c:v>
                </c:pt>
              </c:strCache>
            </c:strRef>
          </c:tx>
          <c:spPr>
            <a:solidFill>
              <a:srgbClr val="4f81bd"/>
            </a:solidFill>
            <a:ln w="28440">
              <a:solidFill>
                <a:srgbClr val="4f81bd"/>
              </a:solidFill>
              <a:round/>
            </a:ln>
          </c:spPr>
          <c:marker>
            <c:symbol val="circle"/>
            <c:size val="5"/>
            <c:spPr>
              <a:solidFill>
                <a:srgbClr val="4f81bd"/>
              </a:solidFill>
            </c:spPr>
          </c:marker>
          <c:dLbls>
            <c:dLblPos val="r"/>
            <c:showLegendKey val="0"/>
            <c:showVal val="0"/>
            <c:showCatName val="0"/>
            <c:showSerName val="0"/>
            <c:showPercent val="0"/>
            <c:showLeaderLines val="0"/>
          </c:dLbls>
          <c:cat>
            <c:strRef>
              <c:f>categories</c:f>
              <c:strCache>
                <c:ptCount val="4"/>
                <c:pt idx="0">
                  <c:v>平成5年度</c:v>
                </c:pt>
                <c:pt idx="1">
                  <c:v>平成18年度</c:v>
                </c:pt>
                <c:pt idx="2">
                  <c:v>平成28年度</c:v>
                </c:pt>
                <c:pt idx="3">
                  <c:v>平成34年度</c:v>
                </c:pt>
              </c:strCache>
            </c:strRef>
          </c:cat>
          <c:val>
            <c:numRef>
              <c:f>0</c:f>
              <c:numCache>
                <c:formatCode>General</c:formatCode>
                <c:ptCount val="4"/>
                <c:pt idx="0">
                  <c:v>707</c:v>
                </c:pt>
                <c:pt idx="1">
                  <c:v>412</c:v>
                </c:pt>
                <c:pt idx="2">
                  <c:v>368</c:v>
                </c:pt>
                <c:pt idx="3">
                  <c:v>276</c:v>
                </c:pt>
              </c:numCache>
            </c:numRef>
          </c:val>
          <c:smooth val="0"/>
        </c:ser>
        <c:ser>
          <c:idx val="1"/>
          <c:order val="1"/>
          <c:tx>
            <c:strRef>
              <c:f>label 1</c:f>
              <c:strCache>
                <c:ptCount val="1"/>
                <c:pt idx="0">
                  <c:v>小学校計</c:v>
                </c:pt>
              </c:strCache>
            </c:strRef>
          </c:tx>
          <c:spPr>
            <a:solidFill>
              <a:srgbClr val="c0504d"/>
            </a:solidFill>
            <a:ln w="28440">
              <a:solidFill>
                <a:srgbClr val="c0504d"/>
              </a:solidFill>
              <a:round/>
            </a:ln>
          </c:spPr>
          <c:marker>
            <c:symbol val="circle"/>
            <c:size val="5"/>
            <c:spPr>
              <a:solidFill>
                <a:srgbClr val="c0504d"/>
              </a:solidFill>
            </c:spPr>
          </c:marker>
          <c:dLbls>
            <c:dLblPos val="r"/>
            <c:showLegendKey val="0"/>
            <c:showVal val="0"/>
            <c:showCatName val="0"/>
            <c:showSerName val="0"/>
            <c:showPercent val="0"/>
            <c:showLeaderLines val="0"/>
          </c:dLbls>
          <c:cat>
            <c:strRef>
              <c:f>categories</c:f>
              <c:strCache>
                <c:ptCount val="4"/>
                <c:pt idx="0">
                  <c:v>平成5年度</c:v>
                </c:pt>
                <c:pt idx="1">
                  <c:v>平成18年度</c:v>
                </c:pt>
                <c:pt idx="2">
                  <c:v>平成28年度</c:v>
                </c:pt>
                <c:pt idx="3">
                  <c:v>平成34年度</c:v>
                </c:pt>
              </c:strCache>
            </c:strRef>
          </c:cat>
          <c:val>
            <c:numRef>
              <c:f>1</c:f>
              <c:numCache>
                <c:formatCode>General</c:formatCode>
                <c:ptCount val="4"/>
                <c:pt idx="0">
                  <c:v>1161</c:v>
                </c:pt>
                <c:pt idx="1">
                  <c:v>697</c:v>
                </c:pt>
                <c:pt idx="2">
                  <c:v>503</c:v>
                </c:pt>
                <c:pt idx="3">
                  <c:v>414</c:v>
                </c:pt>
              </c:numCache>
            </c:numRef>
          </c:val>
          <c:smooth val="0"/>
        </c:ser>
        <c:hiLowLines>
          <c:spPr>
            <a:ln>
              <a:noFill/>
            </a:ln>
          </c:spPr>
        </c:hiLowLines>
        <c:marker val="1"/>
        <c:axId val="15106094"/>
        <c:axId val="46538817"/>
      </c:lineChart>
      <c:catAx>
        <c:axId val="15106094"/>
        <c:scaling>
          <c:orientation val="minMax"/>
        </c:scaling>
        <c:delete val="0"/>
        <c:axPos val="b"/>
        <c:numFmt formatCode="YYYY/MM/DD" sourceLinked="1"/>
        <c:majorTickMark val="none"/>
        <c:minorTickMark val="none"/>
        <c:tickLblPos val="nextTo"/>
        <c:spPr>
          <a:ln w="9360">
            <a:solidFill>
              <a:srgbClr val="d9d9d9"/>
            </a:solidFill>
            <a:round/>
          </a:ln>
        </c:spPr>
        <c:txPr>
          <a:bodyPr/>
          <a:p>
            <a:pPr>
              <a:defRPr b="0" sz="900" spc="-1" strike="noStrike">
                <a:solidFill>
                  <a:srgbClr val="595959"/>
                </a:solidFill>
                <a:uFill>
                  <a:solidFill>
                    <a:srgbClr val="ffffff"/>
                  </a:solidFill>
                </a:uFill>
                <a:latin typeface="Century"/>
              </a:defRPr>
            </a:pPr>
          </a:p>
        </c:txPr>
        <c:crossAx val="46538817"/>
        <c:crosses val="autoZero"/>
        <c:auto val="1"/>
        <c:lblAlgn val="ctr"/>
        <c:lblOffset val="100"/>
      </c:catAx>
      <c:valAx>
        <c:axId val="46538817"/>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p>
            <a:pPr>
              <a:defRPr b="0" sz="900" spc="-1" strike="noStrike">
                <a:solidFill>
                  <a:srgbClr val="595959"/>
                </a:solidFill>
                <a:uFill>
                  <a:solidFill>
                    <a:srgbClr val="ffffff"/>
                  </a:solidFill>
                </a:uFill>
                <a:latin typeface="Century"/>
              </a:defRPr>
            </a:pPr>
          </a:p>
        </c:txPr>
        <c:crossAx val="15106094"/>
        <c:crosses val="autoZero"/>
        <c:crossBetween val="midCat"/>
      </c:valAx>
      <c:spPr>
        <a:noFill/>
        <a:ln w="25560">
          <a:noFill/>
        </a:ln>
      </c:spPr>
    </c:plotArea>
    <c:legend>
      <c:legendPos val="b"/>
      <c:overlay val="0"/>
      <c:spPr>
        <a:noFill/>
        <a:ln w="25560">
          <a:noFill/>
        </a:ln>
      </c:spPr>
    </c:legend>
    <c:plotVisOnly val="1"/>
    <c:dispBlanksAs val="gap"/>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2000" spc="-1" strike="noStrike">
                <a:solidFill>
                  <a:srgbClr val="000000"/>
                </a:solidFill>
                <a:uFill>
                  <a:solidFill>
                    <a:srgbClr val="ffffff"/>
                  </a:solidFill>
                </a:uFill>
                <a:latin typeface="Century"/>
              </a:defRPr>
            </a:pPr>
            <a:r>
              <a:rPr b="1" sz="2000" spc="-1" strike="noStrike">
                <a:solidFill>
                  <a:srgbClr val="000000"/>
                </a:solidFill>
                <a:uFill>
                  <a:solidFill>
                    <a:srgbClr val="ffffff"/>
                  </a:solidFill>
                </a:uFill>
                <a:latin typeface="Century"/>
              </a:rPr>
              <a:t>児童数の変遷（新小以外）</a:t>
            </a:r>
          </a:p>
        </c:rich>
      </c:tx>
      <c:overlay val="0"/>
    </c:title>
    <c:autoTitleDeleted val="0"/>
    <c:plotArea>
      <c:lineChart>
        <c:grouping val="standard"/>
        <c:varyColors val="0"/>
        <c:ser>
          <c:idx val="0"/>
          <c:order val="0"/>
          <c:tx>
            <c:strRef>
              <c:f>label 0</c:f>
              <c:strCache>
                <c:ptCount val="1"/>
                <c:pt idx="0">
                  <c:v>飯豊小</c:v>
                </c:pt>
              </c:strCache>
            </c:strRef>
          </c:tx>
          <c:spPr>
            <a:solidFill>
              <a:srgbClr val="4f81bd"/>
            </a:solidFill>
            <a:ln w="28440">
              <a:solidFill>
                <a:srgbClr val="4f81bd"/>
              </a:solidFill>
              <a:round/>
            </a:ln>
          </c:spPr>
          <c:marker>
            <c:symbol val="circle"/>
            <c:size val="5"/>
            <c:spPr>
              <a:solidFill>
                <a:srgbClr val="4f81bd"/>
              </a:solidFill>
            </c:spPr>
          </c:marker>
          <c:dLbls>
            <c:dLblPos val="r"/>
            <c:showLegendKey val="0"/>
            <c:showVal val="0"/>
            <c:showCatName val="0"/>
            <c:showSerName val="0"/>
            <c:showPercent val="0"/>
            <c:showLeaderLines val="0"/>
          </c:dLbls>
          <c:cat>
            <c:strRef>
              <c:f>categories</c:f>
              <c:strCache>
                <c:ptCount val="4"/>
                <c:pt idx="0">
                  <c:v>平成5年度</c:v>
                </c:pt>
                <c:pt idx="1">
                  <c:v>平成18年度</c:v>
                </c:pt>
                <c:pt idx="2">
                  <c:v>平成28年度</c:v>
                </c:pt>
                <c:pt idx="3">
                  <c:v>平成34年度</c:v>
                </c:pt>
              </c:strCache>
            </c:strRef>
          </c:cat>
          <c:val>
            <c:numRef>
              <c:f>0</c:f>
              <c:numCache>
                <c:formatCode>General</c:formatCode>
                <c:ptCount val="4"/>
                <c:pt idx="0">
                  <c:v>137</c:v>
                </c:pt>
                <c:pt idx="1">
                  <c:v>97</c:v>
                </c:pt>
                <c:pt idx="2">
                  <c:v>47</c:v>
                </c:pt>
                <c:pt idx="3">
                  <c:v>53</c:v>
                </c:pt>
              </c:numCache>
            </c:numRef>
          </c:val>
          <c:smooth val="0"/>
        </c:ser>
        <c:ser>
          <c:idx val="1"/>
          <c:order val="1"/>
          <c:tx>
            <c:strRef>
              <c:f>label 1</c:f>
              <c:strCache>
                <c:ptCount val="1"/>
                <c:pt idx="0">
                  <c:v>浮金小</c:v>
                </c:pt>
              </c:strCache>
            </c:strRef>
          </c:tx>
          <c:spPr>
            <a:solidFill>
              <a:srgbClr val="c0504d"/>
            </a:solidFill>
            <a:ln w="28440">
              <a:solidFill>
                <a:srgbClr val="c0504d"/>
              </a:solidFill>
              <a:round/>
            </a:ln>
          </c:spPr>
          <c:marker>
            <c:symbol val="circle"/>
            <c:size val="5"/>
            <c:spPr>
              <a:solidFill>
                <a:srgbClr val="c0504d"/>
              </a:solidFill>
            </c:spPr>
          </c:marker>
          <c:dLbls>
            <c:dLblPos val="r"/>
            <c:showLegendKey val="0"/>
            <c:showVal val="0"/>
            <c:showCatName val="0"/>
            <c:showSerName val="0"/>
            <c:showPercent val="0"/>
            <c:showLeaderLines val="0"/>
          </c:dLbls>
          <c:cat>
            <c:strRef>
              <c:f>categories</c:f>
              <c:strCache>
                <c:ptCount val="4"/>
                <c:pt idx="0">
                  <c:v>平成5年度</c:v>
                </c:pt>
                <c:pt idx="1">
                  <c:v>平成18年度</c:v>
                </c:pt>
                <c:pt idx="2">
                  <c:v>平成28年度</c:v>
                </c:pt>
                <c:pt idx="3">
                  <c:v>平成34年度</c:v>
                </c:pt>
              </c:strCache>
            </c:strRef>
          </c:cat>
          <c:val>
            <c:numRef>
              <c:f>1</c:f>
              <c:numCache>
                <c:formatCode>General</c:formatCode>
                <c:ptCount val="4"/>
                <c:pt idx="0">
                  <c:v>79</c:v>
                </c:pt>
                <c:pt idx="1">
                  <c:v>51</c:v>
                </c:pt>
                <c:pt idx="2">
                  <c:v>36</c:v>
                </c:pt>
                <c:pt idx="3">
                  <c:v>32</c:v>
                </c:pt>
              </c:numCache>
            </c:numRef>
          </c:val>
          <c:smooth val="0"/>
        </c:ser>
        <c:ser>
          <c:idx val="2"/>
          <c:order val="2"/>
          <c:tx>
            <c:strRef>
              <c:f>label 2</c:f>
              <c:strCache>
                <c:ptCount val="1"/>
                <c:pt idx="0">
                  <c:v>夏井第一小</c:v>
                </c:pt>
              </c:strCache>
            </c:strRef>
          </c:tx>
          <c:spPr>
            <a:solidFill>
              <a:srgbClr val="9bbb59"/>
            </a:solidFill>
            <a:ln w="28440">
              <a:solidFill>
                <a:srgbClr val="9bbb59"/>
              </a:solidFill>
              <a:round/>
            </a:ln>
          </c:spPr>
          <c:marker>
            <c:symbol val="circle"/>
            <c:size val="5"/>
            <c:spPr>
              <a:solidFill>
                <a:srgbClr val="9bbb59"/>
              </a:solidFill>
            </c:spPr>
          </c:marker>
          <c:dLbls>
            <c:dLblPos val="r"/>
            <c:showLegendKey val="0"/>
            <c:showVal val="0"/>
            <c:showCatName val="0"/>
            <c:showSerName val="0"/>
            <c:showPercent val="0"/>
            <c:showLeaderLines val="0"/>
          </c:dLbls>
          <c:cat>
            <c:strRef>
              <c:f>categories</c:f>
              <c:strCache>
                <c:ptCount val="4"/>
                <c:pt idx="0">
                  <c:v>平成5年度</c:v>
                </c:pt>
                <c:pt idx="1">
                  <c:v>平成18年度</c:v>
                </c:pt>
                <c:pt idx="2">
                  <c:v>平成28年度</c:v>
                </c:pt>
                <c:pt idx="3">
                  <c:v>平成34年度</c:v>
                </c:pt>
              </c:strCache>
            </c:strRef>
          </c:cat>
          <c:val>
            <c:numRef>
              <c:f>2</c:f>
              <c:numCache>
                <c:formatCode>General</c:formatCode>
                <c:ptCount val="4"/>
                <c:pt idx="0">
                  <c:v>141</c:v>
                </c:pt>
                <c:pt idx="1">
                  <c:v>74</c:v>
                </c:pt>
                <c:pt idx="2">
                  <c:v>52</c:v>
                </c:pt>
                <c:pt idx="3">
                  <c:v>53</c:v>
                </c:pt>
              </c:numCache>
            </c:numRef>
          </c:val>
          <c:smooth val="0"/>
        </c:ser>
        <c:hiLowLines>
          <c:spPr>
            <a:ln>
              <a:noFill/>
            </a:ln>
          </c:spPr>
        </c:hiLowLines>
        <c:marker val="1"/>
        <c:axId val="22481185"/>
        <c:axId val="70824418"/>
      </c:lineChart>
      <c:catAx>
        <c:axId val="22481185"/>
        <c:scaling>
          <c:orientation val="minMax"/>
        </c:scaling>
        <c:delete val="0"/>
        <c:axPos val="b"/>
        <c:numFmt formatCode="YYYY/MM/DD" sourceLinked="1"/>
        <c:majorTickMark val="none"/>
        <c:minorTickMark val="none"/>
        <c:tickLblPos val="nextTo"/>
        <c:spPr>
          <a:ln w="9360">
            <a:solidFill>
              <a:srgbClr val="d9d9d9"/>
            </a:solidFill>
            <a:round/>
          </a:ln>
        </c:spPr>
        <c:txPr>
          <a:bodyPr/>
          <a:p>
            <a:pPr>
              <a:defRPr b="0" sz="900" spc="-1" strike="noStrike">
                <a:solidFill>
                  <a:srgbClr val="595959"/>
                </a:solidFill>
                <a:uFill>
                  <a:solidFill>
                    <a:srgbClr val="ffffff"/>
                  </a:solidFill>
                </a:uFill>
                <a:latin typeface="Century"/>
              </a:defRPr>
            </a:pPr>
          </a:p>
        </c:txPr>
        <c:crossAx val="70824418"/>
        <c:crosses val="autoZero"/>
        <c:auto val="1"/>
        <c:lblAlgn val="ctr"/>
        <c:lblOffset val="100"/>
      </c:catAx>
      <c:valAx>
        <c:axId val="7082441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p>
            <a:pPr>
              <a:defRPr b="0" sz="900" spc="-1" strike="noStrike">
                <a:solidFill>
                  <a:srgbClr val="595959"/>
                </a:solidFill>
                <a:uFill>
                  <a:solidFill>
                    <a:srgbClr val="ffffff"/>
                  </a:solidFill>
                </a:uFill>
                <a:latin typeface="Century"/>
              </a:defRPr>
            </a:pPr>
          </a:p>
        </c:txPr>
        <c:crossAx val="22481185"/>
        <c:crosses val="autoZero"/>
        <c:crossBetween val="midCat"/>
      </c:valAx>
      <c:spPr>
        <a:noFill/>
        <a:ln w="25560">
          <a:noFill/>
        </a:ln>
      </c:spPr>
    </c:plotArea>
    <c:legend>
      <c:legendPos val="b"/>
      <c:overlay val="0"/>
      <c:spPr>
        <a:noFill/>
        <a:ln w="25560">
          <a:noFill/>
        </a:ln>
      </c:spPr>
    </c:legend>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9FF04-2C94-4F8B-A024-F43D42BA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Application>LibreOffice/5.3.0.3$Windows_x86 LibreOffice_project/7074905676c47b82bbcfbea1aeefc84afe1c50e1</Application>
  <Pages>9</Pages>
  <Words>5134</Words>
  <Characters>5134</Characters>
  <CharactersWithSpaces>5443</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2017-01-31T05:28:00Z</dcterms:created>
  <dc:creator>e.nishimaki</dc:creator>
  <dc:description/>
  <dc:language>ja-JP</dc:language>
  <cp:lastModifiedBy/>
  <cp:lastPrinted>2017-03-17T04:45:00Z</cp:lastPrinted>
  <dcterms:modified xsi:type="dcterms:W3CDTF">2017-05-08T09:30:46Z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